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895" w:rsidRDefault="00A86895" w:rsidP="009A4FEF">
      <w:pPr>
        <w:pStyle w:val="BodyText2"/>
        <w:rPr>
          <w:rFonts w:ascii="Times New Roman" w:hAnsi="Times New Roman"/>
          <w:sz w:val="23"/>
          <w:szCs w:val="23"/>
        </w:rPr>
      </w:pPr>
    </w:p>
    <w:p w:rsidR="0070756D" w:rsidRDefault="0070756D" w:rsidP="009A4FEF">
      <w:pPr>
        <w:pStyle w:val="BodyText2"/>
        <w:rPr>
          <w:rFonts w:ascii="Times New Roman" w:hAnsi="Times New Roman"/>
          <w:sz w:val="23"/>
          <w:szCs w:val="23"/>
        </w:rPr>
      </w:pPr>
    </w:p>
    <w:p w:rsidR="009A4FEF" w:rsidRDefault="009A4FEF" w:rsidP="009A4FEF">
      <w:pPr>
        <w:pStyle w:val="BodyText2"/>
        <w:rPr>
          <w:rFonts w:ascii="Times New Roman" w:hAnsi="Times New Roman"/>
          <w:sz w:val="23"/>
          <w:szCs w:val="23"/>
        </w:rPr>
      </w:pPr>
      <w:r w:rsidRPr="009A4FEF">
        <w:rPr>
          <w:rFonts w:ascii="Times New Roman" w:hAnsi="Times New Roman"/>
          <w:sz w:val="23"/>
          <w:szCs w:val="23"/>
        </w:rPr>
        <w:t>The regular meeting of the Board of Trustees of PermiaCare will be held at 3:30 p.m., Tuesday, May 15, 2018 at Atmos Energy Corporation, 2304 Loop 40 (behind the Post Office at Midland International Airport), Midland, Texas.</w:t>
      </w:r>
    </w:p>
    <w:p w:rsidR="0070756D" w:rsidRPr="009A4FEF" w:rsidRDefault="0070756D" w:rsidP="009A4FEF">
      <w:pPr>
        <w:pStyle w:val="BodyText2"/>
        <w:rPr>
          <w:rFonts w:ascii="Times New Roman" w:hAnsi="Times New Roman"/>
          <w:sz w:val="23"/>
          <w:szCs w:val="23"/>
        </w:rPr>
      </w:pPr>
    </w:p>
    <w:p w:rsidR="009A4FEF" w:rsidRPr="009A4FEF" w:rsidRDefault="009A4FEF" w:rsidP="009A4FEF">
      <w:pPr>
        <w:pStyle w:val="Heading7"/>
        <w:rPr>
          <w:sz w:val="23"/>
          <w:szCs w:val="23"/>
        </w:rPr>
      </w:pPr>
      <w:r w:rsidRPr="009A4FEF">
        <w:rPr>
          <w:sz w:val="23"/>
          <w:szCs w:val="23"/>
        </w:rPr>
        <w:t>A G E N D A</w:t>
      </w:r>
      <w:r w:rsidRPr="009A4FEF">
        <w:rPr>
          <w:sz w:val="23"/>
          <w:szCs w:val="23"/>
        </w:rPr>
        <w:tab/>
      </w:r>
    </w:p>
    <w:tbl>
      <w:tblPr>
        <w:tblW w:w="10170" w:type="dxa"/>
        <w:tblLayout w:type="fixed"/>
        <w:tblLook w:val="04A0" w:firstRow="1" w:lastRow="0" w:firstColumn="1" w:lastColumn="0" w:noHBand="0" w:noVBand="1"/>
      </w:tblPr>
      <w:tblGrid>
        <w:gridCol w:w="630"/>
        <w:gridCol w:w="540"/>
        <w:gridCol w:w="9000"/>
      </w:tblGrid>
      <w:tr w:rsidR="002B64C6" w:rsidRPr="002B64C6" w:rsidTr="0070756D">
        <w:tc>
          <w:tcPr>
            <w:tcW w:w="630" w:type="dxa"/>
          </w:tcPr>
          <w:p w:rsidR="002B64C6" w:rsidRPr="002B64C6" w:rsidRDefault="002B64C6" w:rsidP="00336959">
            <w:pPr>
              <w:pStyle w:val="Heading8"/>
              <w:spacing w:line="240" w:lineRule="auto"/>
              <w:jc w:val="center"/>
              <w:rPr>
                <w:sz w:val="23"/>
                <w:szCs w:val="23"/>
              </w:rPr>
            </w:pPr>
            <w:r w:rsidRPr="002B64C6">
              <w:rPr>
                <w:sz w:val="23"/>
                <w:szCs w:val="23"/>
              </w:rPr>
              <w:t>I</w:t>
            </w:r>
          </w:p>
        </w:tc>
        <w:tc>
          <w:tcPr>
            <w:tcW w:w="540" w:type="dxa"/>
          </w:tcPr>
          <w:p w:rsidR="002B64C6" w:rsidRPr="002B64C6" w:rsidRDefault="002B64C6" w:rsidP="00336959">
            <w:pPr>
              <w:tabs>
                <w:tab w:val="left" w:pos="1080"/>
                <w:tab w:val="left" w:pos="1800"/>
              </w:tabs>
              <w:spacing w:after="0"/>
              <w:jc w:val="right"/>
              <w:rPr>
                <w:rFonts w:ascii="Times New Roman" w:hAnsi="Times New Roman" w:cs="Times New Roman"/>
                <w:sz w:val="23"/>
                <w:szCs w:val="23"/>
              </w:rPr>
            </w:pPr>
          </w:p>
        </w:tc>
        <w:tc>
          <w:tcPr>
            <w:tcW w:w="9000" w:type="dxa"/>
          </w:tcPr>
          <w:p w:rsidR="002B64C6" w:rsidRPr="002B64C6" w:rsidRDefault="002B64C6" w:rsidP="00336959">
            <w:pPr>
              <w:spacing w:after="0" w:line="240" w:lineRule="auto"/>
              <w:rPr>
                <w:rFonts w:ascii="Times New Roman" w:hAnsi="Times New Roman" w:cs="Times New Roman"/>
                <w:sz w:val="23"/>
                <w:szCs w:val="23"/>
              </w:rPr>
            </w:pPr>
            <w:r w:rsidRPr="002B64C6">
              <w:rPr>
                <w:rFonts w:ascii="Times New Roman" w:hAnsi="Times New Roman" w:cs="Times New Roman"/>
                <w:sz w:val="23"/>
                <w:szCs w:val="23"/>
              </w:rPr>
              <w:t>Call Meeting to Order</w:t>
            </w:r>
          </w:p>
        </w:tc>
      </w:tr>
      <w:tr w:rsidR="009A4FEF" w:rsidRPr="002B64C6" w:rsidTr="0070756D">
        <w:tc>
          <w:tcPr>
            <w:tcW w:w="630" w:type="dxa"/>
            <w:hideMark/>
          </w:tcPr>
          <w:p w:rsidR="009A4FEF" w:rsidRPr="002B64C6" w:rsidRDefault="008947A5" w:rsidP="008947A5">
            <w:pPr>
              <w:tabs>
                <w:tab w:val="left" w:pos="1080"/>
                <w:tab w:val="left" w:pos="1800"/>
              </w:tabs>
              <w:jc w:val="center"/>
              <w:rPr>
                <w:rFonts w:ascii="Times New Roman" w:hAnsi="Times New Roman" w:cs="Times New Roman"/>
                <w:sz w:val="23"/>
                <w:szCs w:val="23"/>
                <w:highlight w:val="yellow"/>
              </w:rPr>
            </w:pPr>
            <w:r w:rsidRPr="002B64C6">
              <w:rPr>
                <w:rFonts w:ascii="Times New Roman" w:hAnsi="Times New Roman" w:cs="Times New Roman"/>
                <w:sz w:val="23"/>
                <w:szCs w:val="23"/>
              </w:rPr>
              <w:t>II</w:t>
            </w:r>
          </w:p>
        </w:tc>
        <w:tc>
          <w:tcPr>
            <w:tcW w:w="540" w:type="dxa"/>
          </w:tcPr>
          <w:p w:rsidR="009A4FEF" w:rsidRPr="002B64C6" w:rsidRDefault="009A4FEF">
            <w:pPr>
              <w:tabs>
                <w:tab w:val="left" w:pos="1080"/>
                <w:tab w:val="left" w:pos="1800"/>
              </w:tabs>
              <w:jc w:val="center"/>
              <w:rPr>
                <w:rFonts w:ascii="Times New Roman" w:hAnsi="Times New Roman" w:cs="Times New Roman"/>
                <w:sz w:val="23"/>
                <w:szCs w:val="23"/>
              </w:rPr>
            </w:pPr>
          </w:p>
        </w:tc>
        <w:tc>
          <w:tcPr>
            <w:tcW w:w="9000" w:type="dxa"/>
          </w:tcPr>
          <w:p w:rsidR="009A4FEF" w:rsidRPr="002B64C6" w:rsidRDefault="009A4FEF">
            <w:pPr>
              <w:pStyle w:val="Heading8"/>
              <w:spacing w:line="240" w:lineRule="auto"/>
              <w:rPr>
                <w:sz w:val="23"/>
                <w:szCs w:val="23"/>
              </w:rPr>
            </w:pPr>
            <w:r w:rsidRPr="002B64C6">
              <w:rPr>
                <w:sz w:val="23"/>
                <w:szCs w:val="23"/>
              </w:rPr>
              <w:t xml:space="preserve">Chair’s Report </w:t>
            </w:r>
          </w:p>
          <w:p w:rsidR="009A4FEF" w:rsidRPr="002B64C6" w:rsidRDefault="009A4FEF" w:rsidP="009A4FEF">
            <w:pPr>
              <w:pStyle w:val="Heading8"/>
              <w:numPr>
                <w:ilvl w:val="0"/>
                <w:numId w:val="1"/>
              </w:numPr>
              <w:tabs>
                <w:tab w:val="left" w:pos="342"/>
              </w:tabs>
              <w:spacing w:line="240" w:lineRule="auto"/>
              <w:rPr>
                <w:sz w:val="23"/>
                <w:szCs w:val="23"/>
              </w:rPr>
            </w:pPr>
            <w:r w:rsidRPr="002B64C6">
              <w:rPr>
                <w:sz w:val="23"/>
                <w:szCs w:val="23"/>
              </w:rPr>
              <w:t>Announcements &amp; Introduction</w:t>
            </w:r>
          </w:p>
        </w:tc>
      </w:tr>
      <w:tr w:rsidR="009A4FEF" w:rsidRPr="002B64C6" w:rsidTr="0070756D">
        <w:tc>
          <w:tcPr>
            <w:tcW w:w="630" w:type="dxa"/>
            <w:hideMark/>
          </w:tcPr>
          <w:p w:rsidR="009A4FEF" w:rsidRPr="002B64C6" w:rsidRDefault="008947A5" w:rsidP="008947A5">
            <w:pPr>
              <w:tabs>
                <w:tab w:val="left" w:pos="1080"/>
                <w:tab w:val="left" w:pos="1800"/>
              </w:tabs>
              <w:jc w:val="center"/>
              <w:rPr>
                <w:rFonts w:ascii="Times New Roman" w:hAnsi="Times New Roman" w:cs="Times New Roman"/>
                <w:sz w:val="23"/>
                <w:szCs w:val="23"/>
                <w:highlight w:val="yellow"/>
              </w:rPr>
            </w:pPr>
            <w:r w:rsidRPr="002B64C6">
              <w:rPr>
                <w:rFonts w:ascii="Times New Roman" w:hAnsi="Times New Roman" w:cs="Times New Roman"/>
                <w:sz w:val="23"/>
                <w:szCs w:val="23"/>
              </w:rPr>
              <w:t>III</w:t>
            </w:r>
          </w:p>
        </w:tc>
        <w:tc>
          <w:tcPr>
            <w:tcW w:w="540" w:type="dxa"/>
          </w:tcPr>
          <w:p w:rsidR="009A4FEF" w:rsidRPr="002B64C6" w:rsidRDefault="009A4FEF">
            <w:pPr>
              <w:tabs>
                <w:tab w:val="left" w:pos="1080"/>
                <w:tab w:val="left" w:pos="1800"/>
              </w:tabs>
              <w:jc w:val="center"/>
              <w:rPr>
                <w:rFonts w:ascii="Times New Roman" w:hAnsi="Times New Roman" w:cs="Times New Roman"/>
                <w:sz w:val="23"/>
                <w:szCs w:val="23"/>
              </w:rPr>
            </w:pPr>
          </w:p>
        </w:tc>
        <w:tc>
          <w:tcPr>
            <w:tcW w:w="9000" w:type="dxa"/>
          </w:tcPr>
          <w:p w:rsidR="009A4FEF" w:rsidRPr="002B64C6" w:rsidRDefault="009A4FEF" w:rsidP="009A4FEF">
            <w:pPr>
              <w:pStyle w:val="Heading8"/>
              <w:spacing w:line="240" w:lineRule="auto"/>
              <w:rPr>
                <w:sz w:val="23"/>
                <w:szCs w:val="23"/>
              </w:rPr>
            </w:pPr>
            <w:r w:rsidRPr="002B64C6">
              <w:rPr>
                <w:sz w:val="23"/>
                <w:szCs w:val="23"/>
              </w:rPr>
              <w:t xml:space="preserve">Presentations/Training </w:t>
            </w:r>
          </w:p>
          <w:p w:rsidR="009A4FEF" w:rsidRPr="002B64C6" w:rsidRDefault="009A4FEF" w:rsidP="009A4FEF">
            <w:pPr>
              <w:pStyle w:val="Heading8"/>
              <w:numPr>
                <w:ilvl w:val="0"/>
                <w:numId w:val="5"/>
              </w:numPr>
              <w:spacing w:line="240" w:lineRule="auto"/>
              <w:rPr>
                <w:sz w:val="23"/>
                <w:szCs w:val="23"/>
              </w:rPr>
            </w:pPr>
            <w:r w:rsidRPr="002B64C6">
              <w:rPr>
                <w:sz w:val="23"/>
                <w:szCs w:val="23"/>
              </w:rPr>
              <w:t>The Role of Supported Housing in Delivery of Services to Persons with Mental Illness</w:t>
            </w:r>
          </w:p>
          <w:p w:rsidR="009A4FEF" w:rsidRPr="002B64C6" w:rsidRDefault="009A4FEF" w:rsidP="009A4FEF">
            <w:pPr>
              <w:spacing w:after="0"/>
              <w:rPr>
                <w:rFonts w:ascii="Times New Roman" w:hAnsi="Times New Roman" w:cs="Times New Roman"/>
                <w:sz w:val="4"/>
                <w:szCs w:val="4"/>
              </w:rPr>
            </w:pPr>
          </w:p>
        </w:tc>
      </w:tr>
      <w:tr w:rsidR="009A4FEF" w:rsidRPr="002B64C6" w:rsidTr="0070756D">
        <w:tc>
          <w:tcPr>
            <w:tcW w:w="630" w:type="dxa"/>
            <w:hideMark/>
          </w:tcPr>
          <w:p w:rsidR="009A4FEF" w:rsidRPr="002B64C6" w:rsidRDefault="008947A5" w:rsidP="008947A5">
            <w:pPr>
              <w:tabs>
                <w:tab w:val="left" w:pos="1080"/>
                <w:tab w:val="left" w:pos="1800"/>
              </w:tabs>
              <w:spacing w:after="0"/>
              <w:jc w:val="center"/>
              <w:rPr>
                <w:rFonts w:ascii="Times New Roman" w:hAnsi="Times New Roman" w:cs="Times New Roman"/>
                <w:sz w:val="23"/>
                <w:szCs w:val="23"/>
              </w:rPr>
            </w:pPr>
            <w:r w:rsidRPr="002B64C6">
              <w:rPr>
                <w:rFonts w:ascii="Times New Roman" w:hAnsi="Times New Roman" w:cs="Times New Roman"/>
                <w:sz w:val="23"/>
                <w:szCs w:val="23"/>
              </w:rPr>
              <w:t>IV</w:t>
            </w:r>
          </w:p>
        </w:tc>
        <w:tc>
          <w:tcPr>
            <w:tcW w:w="540" w:type="dxa"/>
          </w:tcPr>
          <w:p w:rsidR="009A4FEF" w:rsidRPr="002B64C6" w:rsidRDefault="009A4FEF" w:rsidP="009A4FEF">
            <w:pPr>
              <w:tabs>
                <w:tab w:val="left" w:pos="1080"/>
                <w:tab w:val="left" w:pos="1800"/>
              </w:tabs>
              <w:spacing w:after="0"/>
              <w:jc w:val="right"/>
              <w:rPr>
                <w:rFonts w:ascii="Times New Roman" w:hAnsi="Times New Roman" w:cs="Times New Roman"/>
                <w:sz w:val="23"/>
                <w:szCs w:val="23"/>
              </w:rPr>
            </w:pPr>
          </w:p>
        </w:tc>
        <w:tc>
          <w:tcPr>
            <w:tcW w:w="9000" w:type="dxa"/>
          </w:tcPr>
          <w:p w:rsidR="009A4FEF" w:rsidRPr="002B64C6" w:rsidRDefault="009A4FEF" w:rsidP="009A4FEF">
            <w:pPr>
              <w:pStyle w:val="Heading6"/>
              <w:tabs>
                <w:tab w:val="left" w:pos="342"/>
                <w:tab w:val="left" w:pos="702"/>
              </w:tabs>
              <w:rPr>
                <w:sz w:val="23"/>
                <w:szCs w:val="23"/>
              </w:rPr>
            </w:pPr>
            <w:r w:rsidRPr="002B64C6">
              <w:rPr>
                <w:sz w:val="23"/>
                <w:szCs w:val="23"/>
              </w:rPr>
              <w:t>Consent Agenda</w:t>
            </w:r>
          </w:p>
          <w:p w:rsidR="009A4FEF" w:rsidRPr="002B64C6" w:rsidRDefault="009A4FEF" w:rsidP="009A4FEF">
            <w:pPr>
              <w:tabs>
                <w:tab w:val="left" w:pos="342"/>
                <w:tab w:val="left" w:pos="702"/>
                <w:tab w:val="left" w:pos="1080"/>
              </w:tabs>
              <w:spacing w:after="0" w:line="240" w:lineRule="auto"/>
              <w:rPr>
                <w:rFonts w:ascii="Times New Roman" w:hAnsi="Times New Roman" w:cs="Times New Roman"/>
                <w:sz w:val="23"/>
                <w:szCs w:val="23"/>
              </w:rPr>
            </w:pPr>
            <w:r w:rsidRPr="002B64C6">
              <w:rPr>
                <w:rFonts w:ascii="Times New Roman" w:hAnsi="Times New Roman" w:cs="Times New Roman"/>
                <w:sz w:val="23"/>
                <w:szCs w:val="23"/>
              </w:rPr>
              <w:t>1.</w:t>
            </w:r>
            <w:r w:rsidRPr="002B64C6">
              <w:rPr>
                <w:rFonts w:ascii="Times New Roman" w:hAnsi="Times New Roman" w:cs="Times New Roman"/>
                <w:sz w:val="23"/>
                <w:szCs w:val="23"/>
              </w:rPr>
              <w:tab/>
              <w:t>Minutes of the last meeting</w:t>
            </w:r>
          </w:p>
          <w:p w:rsidR="009A4FEF" w:rsidRPr="002B64C6" w:rsidRDefault="009A4FEF" w:rsidP="009A4FEF">
            <w:pPr>
              <w:tabs>
                <w:tab w:val="left" w:pos="342"/>
                <w:tab w:val="left" w:pos="702"/>
                <w:tab w:val="left" w:pos="1080"/>
              </w:tabs>
              <w:spacing w:after="0" w:line="240" w:lineRule="auto"/>
              <w:rPr>
                <w:rFonts w:ascii="Times New Roman" w:hAnsi="Times New Roman" w:cs="Times New Roman"/>
                <w:sz w:val="23"/>
                <w:szCs w:val="23"/>
              </w:rPr>
            </w:pPr>
            <w:r w:rsidRPr="002B64C6">
              <w:rPr>
                <w:rFonts w:ascii="Times New Roman" w:hAnsi="Times New Roman" w:cs="Times New Roman"/>
                <w:sz w:val="23"/>
                <w:szCs w:val="23"/>
              </w:rPr>
              <w:t>2.</w:t>
            </w:r>
            <w:r w:rsidRPr="002B64C6">
              <w:rPr>
                <w:rFonts w:ascii="Times New Roman" w:hAnsi="Times New Roman" w:cs="Times New Roman"/>
                <w:sz w:val="23"/>
                <w:szCs w:val="23"/>
              </w:rPr>
              <w:tab/>
              <w:t>Committee Reports</w:t>
            </w:r>
          </w:p>
          <w:p w:rsidR="009A4FEF" w:rsidRPr="002B64C6" w:rsidRDefault="009A4FEF" w:rsidP="009A4FEF">
            <w:pPr>
              <w:pStyle w:val="Heading8"/>
              <w:numPr>
                <w:ilvl w:val="0"/>
                <w:numId w:val="1"/>
              </w:numPr>
              <w:tabs>
                <w:tab w:val="left" w:pos="342"/>
              </w:tabs>
              <w:spacing w:line="240" w:lineRule="auto"/>
              <w:rPr>
                <w:sz w:val="23"/>
                <w:szCs w:val="23"/>
              </w:rPr>
            </w:pPr>
            <w:r w:rsidRPr="002B64C6">
              <w:rPr>
                <w:sz w:val="23"/>
                <w:szCs w:val="23"/>
              </w:rPr>
              <w:t>Finance Committee</w:t>
            </w:r>
          </w:p>
          <w:p w:rsidR="009A4FEF" w:rsidRPr="002B64C6" w:rsidRDefault="009A4FEF" w:rsidP="009A4FEF">
            <w:pPr>
              <w:numPr>
                <w:ilvl w:val="0"/>
                <w:numId w:val="1"/>
              </w:numPr>
              <w:tabs>
                <w:tab w:val="left" w:pos="342"/>
                <w:tab w:val="left" w:pos="1080"/>
              </w:tabs>
              <w:spacing w:after="0" w:line="240" w:lineRule="auto"/>
              <w:rPr>
                <w:rFonts w:ascii="Times New Roman" w:hAnsi="Times New Roman" w:cs="Times New Roman"/>
                <w:sz w:val="23"/>
                <w:szCs w:val="23"/>
              </w:rPr>
            </w:pPr>
            <w:r w:rsidRPr="002B64C6">
              <w:rPr>
                <w:rFonts w:ascii="Times New Roman" w:hAnsi="Times New Roman" w:cs="Times New Roman"/>
                <w:sz w:val="23"/>
                <w:szCs w:val="23"/>
              </w:rPr>
              <w:t>Nominating Committee</w:t>
            </w:r>
          </w:p>
          <w:p w:rsidR="009A4FEF" w:rsidRPr="002B64C6" w:rsidRDefault="009A4FEF" w:rsidP="009A4FEF">
            <w:pPr>
              <w:spacing w:after="0" w:line="240" w:lineRule="auto"/>
              <w:rPr>
                <w:rFonts w:ascii="Times New Roman" w:hAnsi="Times New Roman" w:cs="Times New Roman"/>
                <w:i/>
                <w:sz w:val="23"/>
                <w:szCs w:val="23"/>
              </w:rPr>
            </w:pPr>
            <w:r w:rsidRPr="002B64C6">
              <w:rPr>
                <w:rFonts w:ascii="Times New Roman" w:hAnsi="Times New Roman" w:cs="Times New Roman"/>
                <w:sz w:val="23"/>
                <w:szCs w:val="23"/>
              </w:rPr>
              <w:t xml:space="preserve">3.   CEO Activity Report </w:t>
            </w:r>
          </w:p>
          <w:p w:rsidR="009A4FEF" w:rsidRPr="002B64C6" w:rsidRDefault="009A4FEF" w:rsidP="009A4FEF">
            <w:pPr>
              <w:tabs>
                <w:tab w:val="left" w:pos="342"/>
                <w:tab w:val="left" w:pos="702"/>
                <w:tab w:val="left" w:pos="1080"/>
              </w:tabs>
              <w:spacing w:after="0" w:line="240" w:lineRule="auto"/>
              <w:rPr>
                <w:rFonts w:ascii="Times New Roman" w:hAnsi="Times New Roman" w:cs="Times New Roman"/>
                <w:sz w:val="23"/>
                <w:szCs w:val="23"/>
              </w:rPr>
            </w:pPr>
            <w:r w:rsidRPr="002B64C6">
              <w:rPr>
                <w:rFonts w:ascii="Times New Roman" w:hAnsi="Times New Roman" w:cs="Times New Roman"/>
                <w:sz w:val="23"/>
                <w:szCs w:val="23"/>
              </w:rPr>
              <w:t>4.   Community Relations Report</w:t>
            </w:r>
          </w:p>
          <w:p w:rsidR="009A4FEF" w:rsidRPr="002B64C6" w:rsidRDefault="009A4FEF" w:rsidP="009A4FEF">
            <w:pPr>
              <w:tabs>
                <w:tab w:val="left" w:pos="342"/>
                <w:tab w:val="left" w:pos="702"/>
                <w:tab w:val="left" w:pos="1080"/>
              </w:tabs>
              <w:spacing w:after="0" w:line="240" w:lineRule="auto"/>
              <w:rPr>
                <w:rFonts w:ascii="Times New Roman" w:hAnsi="Times New Roman" w:cs="Times New Roman"/>
                <w:sz w:val="4"/>
                <w:szCs w:val="4"/>
              </w:rPr>
            </w:pPr>
          </w:p>
          <w:p w:rsidR="009A4FEF" w:rsidRPr="002B64C6" w:rsidRDefault="009A4FEF" w:rsidP="009A4FEF">
            <w:pPr>
              <w:tabs>
                <w:tab w:val="left" w:pos="342"/>
                <w:tab w:val="left" w:pos="702"/>
                <w:tab w:val="left" w:pos="1080"/>
              </w:tabs>
              <w:spacing w:after="0" w:line="240" w:lineRule="auto"/>
              <w:rPr>
                <w:rFonts w:ascii="Times New Roman" w:hAnsi="Times New Roman" w:cs="Times New Roman"/>
                <w:sz w:val="4"/>
                <w:szCs w:val="4"/>
              </w:rPr>
            </w:pPr>
          </w:p>
        </w:tc>
      </w:tr>
      <w:tr w:rsidR="009A4FEF" w:rsidRPr="002B64C6" w:rsidTr="0070756D">
        <w:tc>
          <w:tcPr>
            <w:tcW w:w="630" w:type="dxa"/>
            <w:hideMark/>
          </w:tcPr>
          <w:p w:rsidR="009A4FEF" w:rsidRPr="002B64C6" w:rsidRDefault="008947A5" w:rsidP="008947A5">
            <w:pPr>
              <w:pStyle w:val="Heading8"/>
              <w:spacing w:line="240" w:lineRule="auto"/>
              <w:jc w:val="center"/>
              <w:rPr>
                <w:sz w:val="23"/>
                <w:szCs w:val="23"/>
              </w:rPr>
            </w:pPr>
            <w:r w:rsidRPr="002B64C6">
              <w:rPr>
                <w:sz w:val="23"/>
                <w:szCs w:val="23"/>
              </w:rPr>
              <w:t>V</w:t>
            </w:r>
          </w:p>
        </w:tc>
        <w:tc>
          <w:tcPr>
            <w:tcW w:w="540" w:type="dxa"/>
          </w:tcPr>
          <w:p w:rsidR="009A4FEF" w:rsidRPr="002B64C6" w:rsidRDefault="009A4FEF" w:rsidP="009A4FEF">
            <w:pPr>
              <w:tabs>
                <w:tab w:val="left" w:pos="1080"/>
                <w:tab w:val="left" w:pos="1800"/>
              </w:tabs>
              <w:spacing w:after="0"/>
              <w:jc w:val="right"/>
              <w:rPr>
                <w:rFonts w:ascii="Times New Roman" w:hAnsi="Times New Roman" w:cs="Times New Roman"/>
                <w:sz w:val="23"/>
                <w:szCs w:val="23"/>
              </w:rPr>
            </w:pPr>
          </w:p>
        </w:tc>
        <w:tc>
          <w:tcPr>
            <w:tcW w:w="9000" w:type="dxa"/>
          </w:tcPr>
          <w:p w:rsidR="009A4FEF" w:rsidRPr="002B64C6" w:rsidRDefault="009A4FEF" w:rsidP="009A4FEF">
            <w:pPr>
              <w:spacing w:after="0" w:line="240" w:lineRule="auto"/>
              <w:rPr>
                <w:rFonts w:ascii="Times New Roman" w:hAnsi="Times New Roman" w:cs="Times New Roman"/>
                <w:sz w:val="23"/>
                <w:szCs w:val="23"/>
              </w:rPr>
            </w:pPr>
            <w:r w:rsidRPr="002B64C6">
              <w:rPr>
                <w:rFonts w:ascii="Times New Roman" w:hAnsi="Times New Roman" w:cs="Times New Roman"/>
                <w:sz w:val="23"/>
                <w:szCs w:val="23"/>
              </w:rPr>
              <w:t>Report on Rebranding Efforts</w:t>
            </w:r>
          </w:p>
          <w:p w:rsidR="009A4FEF" w:rsidRPr="002B64C6" w:rsidRDefault="009A4FEF" w:rsidP="009A4FEF">
            <w:pPr>
              <w:spacing w:after="0" w:line="240" w:lineRule="auto"/>
              <w:rPr>
                <w:rFonts w:ascii="Times New Roman" w:hAnsi="Times New Roman" w:cs="Times New Roman"/>
                <w:sz w:val="4"/>
                <w:szCs w:val="4"/>
              </w:rPr>
            </w:pPr>
          </w:p>
          <w:p w:rsidR="009A4FEF" w:rsidRPr="002B64C6" w:rsidRDefault="009A4FEF" w:rsidP="009A4FEF">
            <w:pPr>
              <w:spacing w:after="0" w:line="240" w:lineRule="auto"/>
              <w:rPr>
                <w:rFonts w:ascii="Times New Roman" w:hAnsi="Times New Roman" w:cs="Times New Roman"/>
                <w:sz w:val="4"/>
                <w:szCs w:val="4"/>
              </w:rPr>
            </w:pPr>
          </w:p>
        </w:tc>
      </w:tr>
      <w:tr w:rsidR="009A4FEF" w:rsidRPr="002B64C6" w:rsidTr="0070756D">
        <w:tc>
          <w:tcPr>
            <w:tcW w:w="630" w:type="dxa"/>
            <w:hideMark/>
          </w:tcPr>
          <w:p w:rsidR="009A4FEF" w:rsidRPr="002B64C6" w:rsidRDefault="009A4FEF" w:rsidP="008947A5">
            <w:pPr>
              <w:pStyle w:val="Heading8"/>
              <w:spacing w:line="240" w:lineRule="auto"/>
              <w:jc w:val="center"/>
              <w:rPr>
                <w:sz w:val="23"/>
                <w:szCs w:val="23"/>
              </w:rPr>
            </w:pPr>
            <w:r w:rsidRPr="002B64C6">
              <w:rPr>
                <w:sz w:val="23"/>
                <w:szCs w:val="23"/>
              </w:rPr>
              <w:t>VI</w:t>
            </w:r>
          </w:p>
        </w:tc>
        <w:tc>
          <w:tcPr>
            <w:tcW w:w="540" w:type="dxa"/>
          </w:tcPr>
          <w:p w:rsidR="009A4FEF" w:rsidRPr="002B64C6" w:rsidRDefault="009A4FEF" w:rsidP="009A4FEF">
            <w:pPr>
              <w:tabs>
                <w:tab w:val="left" w:pos="1080"/>
                <w:tab w:val="left" w:pos="1800"/>
              </w:tabs>
              <w:spacing w:after="0"/>
              <w:jc w:val="right"/>
              <w:rPr>
                <w:rFonts w:ascii="Times New Roman" w:hAnsi="Times New Roman" w:cs="Times New Roman"/>
                <w:sz w:val="23"/>
                <w:szCs w:val="23"/>
              </w:rPr>
            </w:pPr>
          </w:p>
        </w:tc>
        <w:tc>
          <w:tcPr>
            <w:tcW w:w="9000" w:type="dxa"/>
            <w:hideMark/>
          </w:tcPr>
          <w:p w:rsidR="009A4FEF" w:rsidRPr="002B64C6" w:rsidRDefault="009A4FEF" w:rsidP="009A4FEF">
            <w:pPr>
              <w:spacing w:after="0" w:line="240" w:lineRule="auto"/>
              <w:rPr>
                <w:rFonts w:ascii="Times New Roman" w:hAnsi="Times New Roman" w:cs="Times New Roman"/>
                <w:sz w:val="23"/>
                <w:szCs w:val="23"/>
              </w:rPr>
            </w:pPr>
            <w:r w:rsidRPr="002B64C6">
              <w:rPr>
                <w:rFonts w:ascii="Times New Roman" w:hAnsi="Times New Roman" w:cs="Times New Roman"/>
                <w:sz w:val="23"/>
                <w:szCs w:val="23"/>
              </w:rPr>
              <w:t>Public Liaison Committee – Report on Planning and Network Advisory Committee (PNAC)</w:t>
            </w:r>
          </w:p>
          <w:p w:rsidR="009A4FEF" w:rsidRPr="002B64C6" w:rsidRDefault="009A4FEF" w:rsidP="009A4FEF">
            <w:pPr>
              <w:spacing w:after="0" w:line="240" w:lineRule="auto"/>
              <w:rPr>
                <w:rFonts w:ascii="Times New Roman" w:hAnsi="Times New Roman" w:cs="Times New Roman"/>
                <w:sz w:val="4"/>
                <w:szCs w:val="4"/>
              </w:rPr>
            </w:pPr>
          </w:p>
        </w:tc>
      </w:tr>
      <w:tr w:rsidR="009A4FEF" w:rsidRPr="002B64C6" w:rsidTr="0070756D">
        <w:tc>
          <w:tcPr>
            <w:tcW w:w="630" w:type="dxa"/>
            <w:hideMark/>
          </w:tcPr>
          <w:p w:rsidR="009A4FEF" w:rsidRPr="002B64C6" w:rsidRDefault="009A4FEF" w:rsidP="008947A5">
            <w:pPr>
              <w:pStyle w:val="Heading8"/>
              <w:spacing w:line="240" w:lineRule="auto"/>
              <w:jc w:val="center"/>
              <w:rPr>
                <w:sz w:val="23"/>
                <w:szCs w:val="23"/>
              </w:rPr>
            </w:pPr>
            <w:r w:rsidRPr="002B64C6">
              <w:rPr>
                <w:sz w:val="23"/>
                <w:szCs w:val="23"/>
              </w:rPr>
              <w:t>VII</w:t>
            </w:r>
          </w:p>
        </w:tc>
        <w:tc>
          <w:tcPr>
            <w:tcW w:w="540" w:type="dxa"/>
          </w:tcPr>
          <w:p w:rsidR="009A4FEF" w:rsidRPr="002B64C6" w:rsidRDefault="009A4FEF" w:rsidP="009A4FEF">
            <w:pPr>
              <w:tabs>
                <w:tab w:val="left" w:pos="1080"/>
                <w:tab w:val="left" w:pos="1800"/>
              </w:tabs>
              <w:spacing w:after="0"/>
              <w:jc w:val="right"/>
              <w:rPr>
                <w:rFonts w:ascii="Times New Roman" w:hAnsi="Times New Roman" w:cs="Times New Roman"/>
                <w:sz w:val="23"/>
                <w:szCs w:val="23"/>
              </w:rPr>
            </w:pPr>
          </w:p>
        </w:tc>
        <w:tc>
          <w:tcPr>
            <w:tcW w:w="9000" w:type="dxa"/>
            <w:hideMark/>
          </w:tcPr>
          <w:p w:rsidR="009A4FEF" w:rsidRPr="002B64C6" w:rsidRDefault="009A4FEF" w:rsidP="009A4FEF">
            <w:pPr>
              <w:spacing w:after="0" w:line="240" w:lineRule="auto"/>
              <w:rPr>
                <w:rFonts w:ascii="Times New Roman" w:hAnsi="Times New Roman" w:cs="Times New Roman"/>
                <w:sz w:val="23"/>
                <w:szCs w:val="23"/>
              </w:rPr>
            </w:pPr>
            <w:r w:rsidRPr="002B64C6">
              <w:rPr>
                <w:rFonts w:ascii="Times New Roman" w:hAnsi="Times New Roman" w:cs="Times New Roman"/>
                <w:sz w:val="23"/>
                <w:szCs w:val="23"/>
              </w:rPr>
              <w:t>Approve Revisions to By-Laws</w:t>
            </w:r>
          </w:p>
          <w:p w:rsidR="009A4FEF" w:rsidRPr="002B64C6" w:rsidRDefault="009A4FEF" w:rsidP="009A4FEF">
            <w:pPr>
              <w:spacing w:after="0" w:line="240" w:lineRule="auto"/>
              <w:rPr>
                <w:rFonts w:ascii="Times New Roman" w:hAnsi="Times New Roman" w:cs="Times New Roman"/>
                <w:sz w:val="4"/>
                <w:szCs w:val="4"/>
              </w:rPr>
            </w:pPr>
          </w:p>
        </w:tc>
      </w:tr>
      <w:tr w:rsidR="009A4FEF" w:rsidRPr="002B64C6" w:rsidTr="0070756D">
        <w:tc>
          <w:tcPr>
            <w:tcW w:w="630" w:type="dxa"/>
            <w:hideMark/>
          </w:tcPr>
          <w:p w:rsidR="009A4FEF" w:rsidRPr="002B64C6" w:rsidRDefault="009A4FEF" w:rsidP="008947A5">
            <w:pPr>
              <w:tabs>
                <w:tab w:val="left" w:pos="1080"/>
                <w:tab w:val="left" w:pos="1800"/>
              </w:tabs>
              <w:spacing w:after="0"/>
              <w:jc w:val="center"/>
              <w:rPr>
                <w:rFonts w:ascii="Times New Roman" w:hAnsi="Times New Roman" w:cs="Times New Roman"/>
                <w:sz w:val="23"/>
                <w:szCs w:val="23"/>
              </w:rPr>
            </w:pPr>
            <w:r w:rsidRPr="002B64C6">
              <w:rPr>
                <w:rFonts w:ascii="Times New Roman" w:hAnsi="Times New Roman" w:cs="Times New Roman"/>
                <w:sz w:val="23"/>
                <w:szCs w:val="23"/>
              </w:rPr>
              <w:t>V</w:t>
            </w:r>
            <w:r w:rsidRPr="002B64C6">
              <w:rPr>
                <w:rFonts w:ascii="Times New Roman" w:hAnsi="Times New Roman" w:cs="Times New Roman"/>
                <w:sz w:val="23"/>
                <w:szCs w:val="23"/>
              </w:rPr>
              <w:t>I</w:t>
            </w:r>
            <w:r w:rsidR="008947A5" w:rsidRPr="002B64C6">
              <w:rPr>
                <w:rFonts w:ascii="Times New Roman" w:hAnsi="Times New Roman" w:cs="Times New Roman"/>
                <w:sz w:val="23"/>
                <w:szCs w:val="23"/>
              </w:rPr>
              <w:t>II</w:t>
            </w:r>
          </w:p>
        </w:tc>
        <w:tc>
          <w:tcPr>
            <w:tcW w:w="540" w:type="dxa"/>
          </w:tcPr>
          <w:p w:rsidR="009A4FEF" w:rsidRPr="002B64C6" w:rsidRDefault="009A4FEF" w:rsidP="009A4FEF">
            <w:pPr>
              <w:tabs>
                <w:tab w:val="left" w:pos="1080"/>
                <w:tab w:val="left" w:pos="1800"/>
              </w:tabs>
              <w:spacing w:after="0"/>
              <w:jc w:val="center"/>
              <w:rPr>
                <w:rFonts w:ascii="Times New Roman" w:hAnsi="Times New Roman" w:cs="Times New Roman"/>
                <w:sz w:val="23"/>
                <w:szCs w:val="23"/>
              </w:rPr>
            </w:pPr>
          </w:p>
        </w:tc>
        <w:tc>
          <w:tcPr>
            <w:tcW w:w="9000" w:type="dxa"/>
          </w:tcPr>
          <w:p w:rsidR="009A4FEF" w:rsidRPr="002B64C6" w:rsidRDefault="009A4FEF" w:rsidP="009A4FEF">
            <w:pPr>
              <w:tabs>
                <w:tab w:val="left" w:pos="355"/>
                <w:tab w:val="left" w:pos="1080"/>
                <w:tab w:val="left" w:pos="1800"/>
              </w:tabs>
              <w:spacing w:after="0" w:line="240" w:lineRule="auto"/>
              <w:rPr>
                <w:rFonts w:ascii="Times New Roman" w:hAnsi="Times New Roman" w:cs="Times New Roman"/>
                <w:sz w:val="23"/>
                <w:szCs w:val="23"/>
              </w:rPr>
            </w:pPr>
            <w:r w:rsidRPr="002B64C6">
              <w:rPr>
                <w:rFonts w:ascii="Times New Roman" w:hAnsi="Times New Roman" w:cs="Times New Roman"/>
                <w:sz w:val="23"/>
                <w:szCs w:val="23"/>
              </w:rPr>
              <w:t>Treasurer’s Report</w:t>
            </w:r>
          </w:p>
          <w:p w:rsidR="009A4FEF" w:rsidRPr="002B64C6" w:rsidRDefault="009A4FEF" w:rsidP="009A4FEF">
            <w:pPr>
              <w:pStyle w:val="Heading8"/>
              <w:numPr>
                <w:ilvl w:val="0"/>
                <w:numId w:val="1"/>
              </w:numPr>
              <w:tabs>
                <w:tab w:val="left" w:pos="342"/>
              </w:tabs>
              <w:spacing w:line="240" w:lineRule="auto"/>
              <w:rPr>
                <w:sz w:val="23"/>
                <w:szCs w:val="23"/>
              </w:rPr>
            </w:pPr>
            <w:r w:rsidRPr="002B64C6">
              <w:rPr>
                <w:sz w:val="23"/>
                <w:szCs w:val="23"/>
              </w:rPr>
              <w:t>Report on April 2018 Financial Statements</w:t>
            </w:r>
          </w:p>
          <w:p w:rsidR="009A4FEF" w:rsidRPr="002B64C6" w:rsidRDefault="009A4FEF" w:rsidP="008947A5">
            <w:pPr>
              <w:spacing w:after="0"/>
              <w:rPr>
                <w:rFonts w:ascii="Times New Roman" w:hAnsi="Times New Roman" w:cs="Times New Roman"/>
                <w:sz w:val="4"/>
                <w:szCs w:val="4"/>
              </w:rPr>
            </w:pPr>
          </w:p>
        </w:tc>
      </w:tr>
      <w:tr w:rsidR="009A4FEF" w:rsidRPr="002B64C6" w:rsidTr="0070756D">
        <w:tc>
          <w:tcPr>
            <w:tcW w:w="630" w:type="dxa"/>
            <w:hideMark/>
          </w:tcPr>
          <w:p w:rsidR="009A4FEF" w:rsidRPr="002B64C6" w:rsidRDefault="008947A5" w:rsidP="008947A5">
            <w:pPr>
              <w:tabs>
                <w:tab w:val="left" w:pos="375"/>
                <w:tab w:val="left" w:pos="1080"/>
                <w:tab w:val="left" w:pos="1800"/>
              </w:tabs>
              <w:spacing w:after="0"/>
              <w:jc w:val="center"/>
              <w:rPr>
                <w:rFonts w:ascii="Times New Roman" w:hAnsi="Times New Roman" w:cs="Times New Roman"/>
                <w:sz w:val="23"/>
                <w:szCs w:val="23"/>
              </w:rPr>
            </w:pPr>
            <w:r w:rsidRPr="002B64C6">
              <w:rPr>
                <w:rFonts w:ascii="Times New Roman" w:hAnsi="Times New Roman" w:cs="Times New Roman"/>
                <w:sz w:val="23"/>
                <w:szCs w:val="23"/>
              </w:rPr>
              <w:t>IX</w:t>
            </w:r>
          </w:p>
        </w:tc>
        <w:tc>
          <w:tcPr>
            <w:tcW w:w="540" w:type="dxa"/>
          </w:tcPr>
          <w:p w:rsidR="009A4FEF" w:rsidRPr="002B64C6" w:rsidRDefault="009A4FEF" w:rsidP="009A4FEF">
            <w:pPr>
              <w:tabs>
                <w:tab w:val="left" w:pos="1080"/>
                <w:tab w:val="left" w:pos="1800"/>
              </w:tabs>
              <w:spacing w:after="0"/>
              <w:jc w:val="center"/>
              <w:rPr>
                <w:rFonts w:ascii="Times New Roman" w:hAnsi="Times New Roman" w:cs="Times New Roman"/>
                <w:sz w:val="23"/>
                <w:szCs w:val="23"/>
              </w:rPr>
            </w:pPr>
          </w:p>
        </w:tc>
        <w:tc>
          <w:tcPr>
            <w:tcW w:w="9000" w:type="dxa"/>
          </w:tcPr>
          <w:p w:rsidR="009A4FEF" w:rsidRPr="002B64C6" w:rsidRDefault="009A4FEF" w:rsidP="009A4FEF">
            <w:pPr>
              <w:pStyle w:val="Heading8"/>
              <w:spacing w:line="240" w:lineRule="auto"/>
              <w:rPr>
                <w:sz w:val="23"/>
                <w:szCs w:val="23"/>
              </w:rPr>
            </w:pPr>
            <w:r w:rsidRPr="002B64C6">
              <w:rPr>
                <w:sz w:val="23"/>
                <w:szCs w:val="23"/>
              </w:rPr>
              <w:t>Texas Council of Community Centers' Report</w:t>
            </w:r>
          </w:p>
          <w:p w:rsidR="009A4FEF" w:rsidRPr="002B64C6" w:rsidRDefault="009A4FEF" w:rsidP="009A4FEF">
            <w:pPr>
              <w:pStyle w:val="Heading8"/>
              <w:numPr>
                <w:ilvl w:val="0"/>
                <w:numId w:val="1"/>
              </w:numPr>
              <w:tabs>
                <w:tab w:val="left" w:pos="342"/>
              </w:tabs>
              <w:spacing w:line="240" w:lineRule="auto"/>
              <w:rPr>
                <w:sz w:val="23"/>
                <w:szCs w:val="23"/>
              </w:rPr>
            </w:pPr>
            <w:r w:rsidRPr="002B64C6">
              <w:rPr>
                <w:sz w:val="23"/>
                <w:szCs w:val="23"/>
              </w:rPr>
              <w:t>Texas Council of Community Center’s meetings and information</w:t>
            </w:r>
          </w:p>
        </w:tc>
      </w:tr>
      <w:tr w:rsidR="009A4FEF" w:rsidRPr="002B64C6" w:rsidTr="0070756D">
        <w:tc>
          <w:tcPr>
            <w:tcW w:w="630" w:type="dxa"/>
            <w:hideMark/>
          </w:tcPr>
          <w:p w:rsidR="009A4FEF" w:rsidRPr="002B64C6" w:rsidRDefault="008947A5" w:rsidP="008947A5">
            <w:pPr>
              <w:tabs>
                <w:tab w:val="left" w:pos="1080"/>
                <w:tab w:val="left" w:pos="1800"/>
              </w:tabs>
              <w:spacing w:after="0"/>
              <w:jc w:val="center"/>
              <w:rPr>
                <w:rFonts w:ascii="Times New Roman" w:hAnsi="Times New Roman" w:cs="Times New Roman"/>
                <w:sz w:val="23"/>
                <w:szCs w:val="23"/>
              </w:rPr>
            </w:pPr>
            <w:r w:rsidRPr="002B64C6">
              <w:rPr>
                <w:rFonts w:ascii="Times New Roman" w:hAnsi="Times New Roman" w:cs="Times New Roman"/>
                <w:sz w:val="23"/>
                <w:szCs w:val="23"/>
              </w:rPr>
              <w:t>X</w:t>
            </w:r>
          </w:p>
        </w:tc>
        <w:tc>
          <w:tcPr>
            <w:tcW w:w="540" w:type="dxa"/>
          </w:tcPr>
          <w:p w:rsidR="009A4FEF" w:rsidRPr="002B64C6" w:rsidRDefault="009A4FEF" w:rsidP="009A4FEF">
            <w:pPr>
              <w:tabs>
                <w:tab w:val="left" w:pos="1080"/>
                <w:tab w:val="left" w:pos="1800"/>
              </w:tabs>
              <w:spacing w:after="0"/>
              <w:jc w:val="center"/>
              <w:rPr>
                <w:rFonts w:ascii="Times New Roman" w:hAnsi="Times New Roman" w:cs="Times New Roman"/>
                <w:sz w:val="23"/>
                <w:szCs w:val="23"/>
              </w:rPr>
            </w:pPr>
          </w:p>
        </w:tc>
        <w:tc>
          <w:tcPr>
            <w:tcW w:w="9000" w:type="dxa"/>
          </w:tcPr>
          <w:p w:rsidR="009A4FEF" w:rsidRPr="002B64C6" w:rsidRDefault="009A4FEF" w:rsidP="009A4FEF">
            <w:pPr>
              <w:pStyle w:val="Heading8"/>
              <w:spacing w:line="240" w:lineRule="auto"/>
              <w:rPr>
                <w:sz w:val="23"/>
                <w:szCs w:val="23"/>
              </w:rPr>
            </w:pPr>
            <w:r w:rsidRPr="002B64C6">
              <w:rPr>
                <w:sz w:val="23"/>
                <w:szCs w:val="23"/>
              </w:rPr>
              <w:t>Texas Council Risk Management Fund Report</w:t>
            </w:r>
          </w:p>
          <w:p w:rsidR="009A4FEF" w:rsidRPr="002B64C6" w:rsidRDefault="009A4FEF" w:rsidP="009A4FEF">
            <w:pPr>
              <w:pStyle w:val="Heading8"/>
              <w:numPr>
                <w:ilvl w:val="0"/>
                <w:numId w:val="1"/>
              </w:numPr>
              <w:tabs>
                <w:tab w:val="left" w:pos="342"/>
              </w:tabs>
              <w:spacing w:line="240" w:lineRule="auto"/>
              <w:rPr>
                <w:sz w:val="23"/>
                <w:szCs w:val="23"/>
              </w:rPr>
            </w:pPr>
            <w:r w:rsidRPr="002B64C6">
              <w:rPr>
                <w:sz w:val="23"/>
                <w:szCs w:val="23"/>
              </w:rPr>
              <w:t>Texas Council Risk Management Fund's meetings and information</w:t>
            </w:r>
          </w:p>
        </w:tc>
      </w:tr>
      <w:tr w:rsidR="009A4FEF" w:rsidRPr="002B64C6" w:rsidTr="0070756D">
        <w:tc>
          <w:tcPr>
            <w:tcW w:w="630" w:type="dxa"/>
            <w:hideMark/>
          </w:tcPr>
          <w:p w:rsidR="009A4FEF" w:rsidRPr="002B64C6" w:rsidRDefault="008947A5" w:rsidP="008947A5">
            <w:pPr>
              <w:tabs>
                <w:tab w:val="left" w:pos="1080"/>
                <w:tab w:val="left" w:pos="1800"/>
              </w:tabs>
              <w:spacing w:after="0"/>
              <w:jc w:val="center"/>
              <w:rPr>
                <w:rFonts w:ascii="Times New Roman" w:hAnsi="Times New Roman" w:cs="Times New Roman"/>
                <w:sz w:val="23"/>
                <w:szCs w:val="23"/>
              </w:rPr>
            </w:pPr>
            <w:r w:rsidRPr="002B64C6">
              <w:rPr>
                <w:rFonts w:ascii="Times New Roman" w:hAnsi="Times New Roman" w:cs="Times New Roman"/>
                <w:sz w:val="23"/>
                <w:szCs w:val="23"/>
              </w:rPr>
              <w:t>XI</w:t>
            </w:r>
          </w:p>
        </w:tc>
        <w:tc>
          <w:tcPr>
            <w:tcW w:w="540" w:type="dxa"/>
          </w:tcPr>
          <w:p w:rsidR="009A4FEF" w:rsidRPr="002B64C6" w:rsidRDefault="009A4FEF" w:rsidP="009A4FEF">
            <w:pPr>
              <w:tabs>
                <w:tab w:val="left" w:pos="1080"/>
                <w:tab w:val="left" w:pos="1800"/>
              </w:tabs>
              <w:spacing w:after="0"/>
              <w:jc w:val="center"/>
              <w:rPr>
                <w:rFonts w:ascii="Times New Roman" w:hAnsi="Times New Roman" w:cs="Times New Roman"/>
                <w:sz w:val="23"/>
                <w:szCs w:val="23"/>
              </w:rPr>
            </w:pPr>
          </w:p>
        </w:tc>
        <w:tc>
          <w:tcPr>
            <w:tcW w:w="9000" w:type="dxa"/>
          </w:tcPr>
          <w:p w:rsidR="009A4FEF" w:rsidRPr="002B64C6" w:rsidRDefault="009A4FEF" w:rsidP="009A4FEF">
            <w:pPr>
              <w:pStyle w:val="Heading8"/>
              <w:spacing w:line="240" w:lineRule="auto"/>
              <w:rPr>
                <w:sz w:val="23"/>
                <w:szCs w:val="23"/>
              </w:rPr>
            </w:pPr>
            <w:r w:rsidRPr="002B64C6">
              <w:rPr>
                <w:sz w:val="23"/>
                <w:szCs w:val="23"/>
              </w:rPr>
              <w:t>Other Business:</w:t>
            </w:r>
          </w:p>
        </w:tc>
      </w:tr>
      <w:tr w:rsidR="00EC2E45" w:rsidRPr="002B64C6" w:rsidTr="0070756D">
        <w:tc>
          <w:tcPr>
            <w:tcW w:w="630" w:type="dxa"/>
          </w:tcPr>
          <w:p w:rsidR="00EC2E45" w:rsidRPr="002B64C6" w:rsidRDefault="00EC2E45" w:rsidP="008947A5">
            <w:pPr>
              <w:tabs>
                <w:tab w:val="left" w:pos="1080"/>
                <w:tab w:val="left" w:pos="1800"/>
              </w:tabs>
              <w:spacing w:after="0"/>
              <w:jc w:val="center"/>
              <w:rPr>
                <w:rFonts w:ascii="Times New Roman" w:hAnsi="Times New Roman" w:cs="Times New Roman"/>
                <w:sz w:val="23"/>
                <w:szCs w:val="23"/>
              </w:rPr>
            </w:pPr>
          </w:p>
        </w:tc>
        <w:tc>
          <w:tcPr>
            <w:tcW w:w="540" w:type="dxa"/>
          </w:tcPr>
          <w:p w:rsidR="00EC2E45" w:rsidRPr="002B64C6" w:rsidRDefault="00A86895" w:rsidP="009A4FEF">
            <w:pPr>
              <w:tabs>
                <w:tab w:val="left" w:pos="1080"/>
                <w:tab w:val="left" w:pos="1800"/>
              </w:tabs>
              <w:spacing w:after="0"/>
              <w:jc w:val="center"/>
              <w:rPr>
                <w:rFonts w:ascii="Times New Roman" w:hAnsi="Times New Roman" w:cs="Times New Roman"/>
                <w:sz w:val="23"/>
                <w:szCs w:val="23"/>
              </w:rPr>
            </w:pPr>
            <w:r w:rsidRPr="002B64C6">
              <w:rPr>
                <w:rFonts w:ascii="Times New Roman" w:hAnsi="Times New Roman" w:cs="Times New Roman"/>
                <w:sz w:val="23"/>
                <w:szCs w:val="23"/>
              </w:rPr>
              <w:t>1.</w:t>
            </w:r>
          </w:p>
        </w:tc>
        <w:tc>
          <w:tcPr>
            <w:tcW w:w="9000" w:type="dxa"/>
          </w:tcPr>
          <w:p w:rsidR="00A86895" w:rsidRPr="002B64C6" w:rsidRDefault="00A86895" w:rsidP="00A86895">
            <w:pPr>
              <w:tabs>
                <w:tab w:val="left" w:pos="342"/>
              </w:tabs>
              <w:spacing w:after="0" w:line="240" w:lineRule="auto"/>
              <w:rPr>
                <w:rFonts w:ascii="Times New Roman" w:hAnsi="Times New Roman" w:cs="Times New Roman"/>
                <w:sz w:val="23"/>
                <w:szCs w:val="23"/>
              </w:rPr>
            </w:pPr>
            <w:r w:rsidRPr="002B64C6">
              <w:rPr>
                <w:rFonts w:ascii="Times New Roman" w:hAnsi="Times New Roman" w:cs="Times New Roman"/>
                <w:i/>
                <w:sz w:val="23"/>
                <w:szCs w:val="23"/>
              </w:rPr>
              <w:t>Finance Committee</w:t>
            </w:r>
            <w:r w:rsidRPr="002B64C6">
              <w:rPr>
                <w:rFonts w:ascii="Times New Roman" w:hAnsi="Times New Roman" w:cs="Times New Roman"/>
                <w:sz w:val="23"/>
                <w:szCs w:val="23"/>
              </w:rPr>
              <w:t xml:space="preserve"> –  UBS Greathouse Trust Review</w:t>
            </w:r>
          </w:p>
          <w:p w:rsidR="00EC2E45" w:rsidRPr="002B64C6" w:rsidRDefault="00EC2E45" w:rsidP="009A4FEF">
            <w:pPr>
              <w:pStyle w:val="Heading8"/>
              <w:spacing w:line="240" w:lineRule="auto"/>
              <w:rPr>
                <w:sz w:val="4"/>
                <w:szCs w:val="4"/>
              </w:rPr>
            </w:pPr>
          </w:p>
        </w:tc>
      </w:tr>
      <w:tr w:rsidR="00EC2E45" w:rsidRPr="002B64C6" w:rsidTr="0070756D">
        <w:tc>
          <w:tcPr>
            <w:tcW w:w="630" w:type="dxa"/>
          </w:tcPr>
          <w:p w:rsidR="00EC2E45" w:rsidRPr="002B64C6" w:rsidRDefault="00EC2E45" w:rsidP="008947A5">
            <w:pPr>
              <w:tabs>
                <w:tab w:val="left" w:pos="1080"/>
                <w:tab w:val="left" w:pos="1800"/>
              </w:tabs>
              <w:spacing w:after="0"/>
              <w:jc w:val="center"/>
              <w:rPr>
                <w:rFonts w:ascii="Times New Roman" w:hAnsi="Times New Roman" w:cs="Times New Roman"/>
                <w:sz w:val="23"/>
                <w:szCs w:val="23"/>
              </w:rPr>
            </w:pPr>
          </w:p>
        </w:tc>
        <w:tc>
          <w:tcPr>
            <w:tcW w:w="540" w:type="dxa"/>
          </w:tcPr>
          <w:p w:rsidR="00EC2E45" w:rsidRPr="002B64C6" w:rsidRDefault="00A86895" w:rsidP="009A4FEF">
            <w:pPr>
              <w:tabs>
                <w:tab w:val="left" w:pos="1080"/>
                <w:tab w:val="left" w:pos="1800"/>
              </w:tabs>
              <w:spacing w:after="0"/>
              <w:jc w:val="center"/>
              <w:rPr>
                <w:rFonts w:ascii="Times New Roman" w:hAnsi="Times New Roman" w:cs="Times New Roman"/>
                <w:sz w:val="23"/>
                <w:szCs w:val="23"/>
              </w:rPr>
            </w:pPr>
            <w:r w:rsidRPr="002B64C6">
              <w:rPr>
                <w:rFonts w:ascii="Times New Roman" w:hAnsi="Times New Roman" w:cs="Times New Roman"/>
                <w:sz w:val="23"/>
                <w:szCs w:val="23"/>
              </w:rPr>
              <w:t>2.</w:t>
            </w:r>
          </w:p>
        </w:tc>
        <w:tc>
          <w:tcPr>
            <w:tcW w:w="9000" w:type="dxa"/>
          </w:tcPr>
          <w:p w:rsidR="00A86895" w:rsidRPr="002B64C6" w:rsidRDefault="00A86895" w:rsidP="00A86895">
            <w:pPr>
              <w:tabs>
                <w:tab w:val="left" w:pos="342"/>
              </w:tabs>
              <w:spacing w:after="0" w:line="240" w:lineRule="auto"/>
              <w:rPr>
                <w:rFonts w:ascii="Times New Roman" w:hAnsi="Times New Roman" w:cs="Times New Roman"/>
                <w:i/>
                <w:sz w:val="23"/>
                <w:szCs w:val="23"/>
              </w:rPr>
            </w:pPr>
            <w:r w:rsidRPr="002B64C6">
              <w:rPr>
                <w:rFonts w:ascii="Times New Roman" w:hAnsi="Times New Roman" w:cs="Times New Roman"/>
                <w:i/>
                <w:sz w:val="23"/>
                <w:szCs w:val="23"/>
              </w:rPr>
              <w:t xml:space="preserve">Finance Committee – </w:t>
            </w:r>
            <w:r w:rsidRPr="002B64C6">
              <w:rPr>
                <w:rFonts w:ascii="Times New Roman" w:hAnsi="Times New Roman" w:cs="Times New Roman"/>
                <w:sz w:val="23"/>
                <w:szCs w:val="23"/>
              </w:rPr>
              <w:t xml:space="preserve"> Milliman Post Employment Benefit Trust Review</w:t>
            </w:r>
          </w:p>
          <w:p w:rsidR="00EC2E45" w:rsidRPr="002B64C6" w:rsidRDefault="00EC2E45" w:rsidP="009A4FEF">
            <w:pPr>
              <w:pStyle w:val="Heading8"/>
              <w:spacing w:line="240" w:lineRule="auto"/>
              <w:rPr>
                <w:sz w:val="4"/>
                <w:szCs w:val="4"/>
              </w:rPr>
            </w:pPr>
          </w:p>
        </w:tc>
      </w:tr>
      <w:tr w:rsidR="00EC2E45" w:rsidRPr="002B64C6" w:rsidTr="0070756D">
        <w:tc>
          <w:tcPr>
            <w:tcW w:w="630" w:type="dxa"/>
          </w:tcPr>
          <w:p w:rsidR="00EC2E45" w:rsidRPr="002B64C6" w:rsidRDefault="00EC2E45" w:rsidP="008947A5">
            <w:pPr>
              <w:tabs>
                <w:tab w:val="left" w:pos="1080"/>
                <w:tab w:val="left" w:pos="1800"/>
              </w:tabs>
              <w:spacing w:after="0"/>
              <w:jc w:val="center"/>
              <w:rPr>
                <w:rFonts w:ascii="Times New Roman" w:hAnsi="Times New Roman" w:cs="Times New Roman"/>
                <w:sz w:val="23"/>
                <w:szCs w:val="23"/>
              </w:rPr>
            </w:pPr>
          </w:p>
        </w:tc>
        <w:tc>
          <w:tcPr>
            <w:tcW w:w="540" w:type="dxa"/>
          </w:tcPr>
          <w:p w:rsidR="00EC2E45" w:rsidRPr="002B64C6" w:rsidRDefault="00A86895" w:rsidP="009A4FEF">
            <w:pPr>
              <w:tabs>
                <w:tab w:val="left" w:pos="1080"/>
                <w:tab w:val="left" w:pos="1800"/>
              </w:tabs>
              <w:spacing w:after="0"/>
              <w:jc w:val="center"/>
              <w:rPr>
                <w:rFonts w:ascii="Times New Roman" w:hAnsi="Times New Roman" w:cs="Times New Roman"/>
                <w:sz w:val="23"/>
                <w:szCs w:val="23"/>
              </w:rPr>
            </w:pPr>
            <w:r w:rsidRPr="002B64C6">
              <w:rPr>
                <w:rFonts w:ascii="Times New Roman" w:hAnsi="Times New Roman" w:cs="Times New Roman"/>
                <w:sz w:val="23"/>
                <w:szCs w:val="23"/>
              </w:rPr>
              <w:t>3.</w:t>
            </w:r>
          </w:p>
        </w:tc>
        <w:tc>
          <w:tcPr>
            <w:tcW w:w="9000" w:type="dxa"/>
          </w:tcPr>
          <w:p w:rsidR="00A86895" w:rsidRPr="002B64C6" w:rsidRDefault="00A86895" w:rsidP="00A86895">
            <w:pPr>
              <w:tabs>
                <w:tab w:val="left" w:pos="342"/>
              </w:tabs>
              <w:spacing w:after="0" w:line="240" w:lineRule="auto"/>
              <w:rPr>
                <w:rFonts w:ascii="Times New Roman" w:hAnsi="Times New Roman" w:cs="Times New Roman"/>
                <w:i/>
                <w:sz w:val="23"/>
                <w:szCs w:val="23"/>
              </w:rPr>
            </w:pPr>
            <w:r w:rsidRPr="002B64C6">
              <w:rPr>
                <w:rFonts w:ascii="Times New Roman" w:hAnsi="Times New Roman" w:cs="Times New Roman"/>
                <w:i/>
                <w:sz w:val="23"/>
                <w:szCs w:val="23"/>
              </w:rPr>
              <w:t xml:space="preserve">Finance Committee – </w:t>
            </w:r>
            <w:r w:rsidR="0071477C" w:rsidRPr="002B64C6">
              <w:rPr>
                <w:rFonts w:ascii="Times New Roman" w:hAnsi="Times New Roman" w:cs="Times New Roman"/>
                <w:i/>
                <w:sz w:val="23"/>
                <w:szCs w:val="23"/>
              </w:rPr>
              <w:t xml:space="preserve"> </w:t>
            </w:r>
            <w:r w:rsidRPr="002B64C6">
              <w:rPr>
                <w:rFonts w:ascii="Times New Roman" w:hAnsi="Times New Roman" w:cs="Times New Roman"/>
                <w:sz w:val="23"/>
                <w:szCs w:val="23"/>
              </w:rPr>
              <w:t>Annual Review of Policy 4.02.04.01 “Investments Donor Restricted &amp; Particular Purpose Funds” and Investment Plan</w:t>
            </w:r>
          </w:p>
          <w:p w:rsidR="00EC2E45" w:rsidRPr="002B64C6" w:rsidRDefault="00EC2E45" w:rsidP="009A4FEF">
            <w:pPr>
              <w:pStyle w:val="Heading8"/>
              <w:spacing w:line="240" w:lineRule="auto"/>
              <w:rPr>
                <w:sz w:val="4"/>
                <w:szCs w:val="4"/>
              </w:rPr>
            </w:pPr>
          </w:p>
        </w:tc>
      </w:tr>
      <w:tr w:rsidR="00EC2E45" w:rsidRPr="002B64C6" w:rsidTr="0070756D">
        <w:tc>
          <w:tcPr>
            <w:tcW w:w="630" w:type="dxa"/>
          </w:tcPr>
          <w:p w:rsidR="00EC2E45" w:rsidRPr="002B64C6" w:rsidRDefault="00EC2E45" w:rsidP="009A4FEF">
            <w:pPr>
              <w:tabs>
                <w:tab w:val="left" w:pos="1080"/>
                <w:tab w:val="left" w:pos="1800"/>
              </w:tabs>
              <w:spacing w:after="0"/>
              <w:jc w:val="right"/>
              <w:rPr>
                <w:rFonts w:ascii="Times New Roman" w:hAnsi="Times New Roman" w:cs="Times New Roman"/>
                <w:sz w:val="23"/>
                <w:szCs w:val="23"/>
              </w:rPr>
            </w:pPr>
          </w:p>
        </w:tc>
        <w:tc>
          <w:tcPr>
            <w:tcW w:w="540" w:type="dxa"/>
          </w:tcPr>
          <w:p w:rsidR="00EC2E45" w:rsidRPr="002B64C6" w:rsidRDefault="00A86895" w:rsidP="009A4FEF">
            <w:pPr>
              <w:tabs>
                <w:tab w:val="left" w:pos="1080"/>
                <w:tab w:val="left" w:pos="1800"/>
              </w:tabs>
              <w:spacing w:after="0"/>
              <w:jc w:val="center"/>
              <w:rPr>
                <w:rFonts w:ascii="Times New Roman" w:hAnsi="Times New Roman" w:cs="Times New Roman"/>
                <w:sz w:val="23"/>
                <w:szCs w:val="23"/>
              </w:rPr>
            </w:pPr>
            <w:r w:rsidRPr="002B64C6">
              <w:rPr>
                <w:rFonts w:ascii="Times New Roman" w:hAnsi="Times New Roman" w:cs="Times New Roman"/>
                <w:sz w:val="23"/>
                <w:szCs w:val="23"/>
              </w:rPr>
              <w:t>4.</w:t>
            </w:r>
          </w:p>
        </w:tc>
        <w:tc>
          <w:tcPr>
            <w:tcW w:w="9000" w:type="dxa"/>
          </w:tcPr>
          <w:p w:rsidR="00A86895" w:rsidRPr="002B64C6" w:rsidRDefault="00A86895" w:rsidP="00A86895">
            <w:pPr>
              <w:tabs>
                <w:tab w:val="left" w:pos="342"/>
              </w:tabs>
              <w:spacing w:after="0" w:line="240" w:lineRule="auto"/>
              <w:rPr>
                <w:rFonts w:ascii="Times New Roman" w:hAnsi="Times New Roman" w:cs="Times New Roman"/>
                <w:i/>
                <w:sz w:val="23"/>
                <w:szCs w:val="23"/>
              </w:rPr>
            </w:pPr>
            <w:r w:rsidRPr="002B64C6">
              <w:rPr>
                <w:rFonts w:ascii="Times New Roman" w:hAnsi="Times New Roman" w:cs="Times New Roman"/>
                <w:i/>
                <w:sz w:val="23"/>
                <w:szCs w:val="23"/>
              </w:rPr>
              <w:t xml:space="preserve">Finance Committee –  </w:t>
            </w:r>
            <w:r w:rsidRPr="002B64C6">
              <w:rPr>
                <w:rFonts w:ascii="Times New Roman" w:hAnsi="Times New Roman" w:cs="Times New Roman"/>
                <w:sz w:val="23"/>
                <w:szCs w:val="23"/>
              </w:rPr>
              <w:t xml:space="preserve">Annual Review of Policy 4.02.04.00 “Investments” and Board </w:t>
            </w:r>
          </w:p>
          <w:p w:rsidR="00EC2E45" w:rsidRPr="002B64C6" w:rsidRDefault="002B64C6" w:rsidP="00A86895">
            <w:pPr>
              <w:tabs>
                <w:tab w:val="left" w:pos="342"/>
              </w:tabs>
              <w:spacing w:after="0" w:line="240" w:lineRule="auto"/>
              <w:rPr>
                <w:rFonts w:ascii="Times New Roman" w:hAnsi="Times New Roman" w:cs="Times New Roman"/>
                <w:sz w:val="23"/>
                <w:szCs w:val="23"/>
              </w:rPr>
            </w:pPr>
            <w:r w:rsidRPr="002B64C6">
              <w:rPr>
                <w:rFonts w:ascii="Times New Roman" w:hAnsi="Times New Roman" w:cs="Times New Roman"/>
                <w:sz w:val="23"/>
                <w:szCs w:val="23"/>
              </w:rPr>
              <w:t>Resolution</w:t>
            </w:r>
          </w:p>
        </w:tc>
      </w:tr>
      <w:tr w:rsidR="009A4FEF" w:rsidRPr="002B64C6" w:rsidTr="0070756D">
        <w:tc>
          <w:tcPr>
            <w:tcW w:w="630" w:type="dxa"/>
          </w:tcPr>
          <w:p w:rsidR="009A4FEF" w:rsidRPr="002B64C6" w:rsidRDefault="009A4FEF">
            <w:pPr>
              <w:tabs>
                <w:tab w:val="left" w:pos="1080"/>
                <w:tab w:val="left" w:pos="1800"/>
              </w:tabs>
              <w:jc w:val="right"/>
              <w:rPr>
                <w:rFonts w:ascii="Times New Roman" w:hAnsi="Times New Roman" w:cs="Times New Roman"/>
                <w:sz w:val="23"/>
                <w:szCs w:val="23"/>
              </w:rPr>
            </w:pPr>
          </w:p>
        </w:tc>
        <w:tc>
          <w:tcPr>
            <w:tcW w:w="540" w:type="dxa"/>
          </w:tcPr>
          <w:p w:rsidR="00EC2E45" w:rsidRPr="002B64C6" w:rsidRDefault="00A86895" w:rsidP="00A86895">
            <w:pPr>
              <w:tabs>
                <w:tab w:val="left" w:pos="1080"/>
                <w:tab w:val="left" w:pos="1800"/>
              </w:tabs>
              <w:jc w:val="center"/>
              <w:rPr>
                <w:rFonts w:ascii="Times New Roman" w:hAnsi="Times New Roman" w:cs="Times New Roman"/>
                <w:sz w:val="23"/>
                <w:szCs w:val="23"/>
              </w:rPr>
            </w:pPr>
            <w:r w:rsidRPr="002B64C6">
              <w:rPr>
                <w:rFonts w:ascii="Times New Roman" w:hAnsi="Times New Roman" w:cs="Times New Roman"/>
                <w:sz w:val="23"/>
                <w:szCs w:val="23"/>
              </w:rPr>
              <w:t>5.</w:t>
            </w:r>
          </w:p>
        </w:tc>
        <w:tc>
          <w:tcPr>
            <w:tcW w:w="9000" w:type="dxa"/>
            <w:hideMark/>
          </w:tcPr>
          <w:p w:rsidR="00F95F21" w:rsidRPr="002B64C6" w:rsidRDefault="00A86895" w:rsidP="0070756D">
            <w:pPr>
              <w:tabs>
                <w:tab w:val="left" w:pos="342"/>
              </w:tabs>
              <w:spacing w:after="0" w:line="240" w:lineRule="auto"/>
              <w:rPr>
                <w:rFonts w:ascii="Times New Roman" w:hAnsi="Times New Roman" w:cs="Times New Roman"/>
                <w:sz w:val="23"/>
                <w:szCs w:val="23"/>
              </w:rPr>
            </w:pPr>
            <w:r w:rsidRPr="002B64C6">
              <w:rPr>
                <w:rFonts w:ascii="Times New Roman" w:hAnsi="Times New Roman" w:cs="Times New Roman"/>
                <w:i/>
                <w:sz w:val="23"/>
                <w:szCs w:val="23"/>
              </w:rPr>
              <w:t>Finance Committee</w:t>
            </w:r>
            <w:r w:rsidRPr="002B64C6">
              <w:rPr>
                <w:rFonts w:ascii="Times New Roman" w:hAnsi="Times New Roman" w:cs="Times New Roman"/>
                <w:sz w:val="23"/>
                <w:szCs w:val="23"/>
              </w:rPr>
              <w:t xml:space="preserve"> – Annual Review of Policy 4.02.04.02 “Investments </w:t>
            </w:r>
            <w:r w:rsidR="0070756D" w:rsidRPr="002B64C6">
              <w:rPr>
                <w:rFonts w:ascii="Times New Roman" w:hAnsi="Times New Roman" w:cs="Times New Roman"/>
                <w:sz w:val="23"/>
                <w:szCs w:val="23"/>
              </w:rPr>
              <w:t>Post</w:t>
            </w:r>
            <w:r w:rsidR="0070756D">
              <w:rPr>
                <w:rFonts w:ascii="Times New Roman" w:hAnsi="Times New Roman" w:cs="Times New Roman"/>
                <w:sz w:val="23"/>
                <w:szCs w:val="23"/>
              </w:rPr>
              <w:t>-Employment</w:t>
            </w:r>
            <w:r w:rsidRPr="002B64C6">
              <w:rPr>
                <w:rFonts w:ascii="Times New Roman" w:hAnsi="Times New Roman" w:cs="Times New Roman"/>
                <w:sz w:val="23"/>
                <w:szCs w:val="23"/>
              </w:rPr>
              <w:t xml:space="preserve"> Benefits (PEB) Trust”</w:t>
            </w:r>
          </w:p>
        </w:tc>
      </w:tr>
      <w:tr w:rsidR="00A86895" w:rsidRPr="002B64C6" w:rsidTr="0070756D">
        <w:tc>
          <w:tcPr>
            <w:tcW w:w="630" w:type="dxa"/>
          </w:tcPr>
          <w:p w:rsidR="00A86895" w:rsidRPr="002B64C6" w:rsidRDefault="00A86895">
            <w:pPr>
              <w:tabs>
                <w:tab w:val="left" w:pos="1080"/>
                <w:tab w:val="left" w:pos="1800"/>
              </w:tabs>
              <w:jc w:val="right"/>
              <w:rPr>
                <w:rFonts w:ascii="Times New Roman" w:hAnsi="Times New Roman" w:cs="Times New Roman"/>
                <w:sz w:val="23"/>
                <w:szCs w:val="23"/>
              </w:rPr>
            </w:pPr>
          </w:p>
        </w:tc>
        <w:tc>
          <w:tcPr>
            <w:tcW w:w="540" w:type="dxa"/>
          </w:tcPr>
          <w:p w:rsidR="00A86895" w:rsidRPr="002B64C6" w:rsidRDefault="00A86895" w:rsidP="00A86895">
            <w:pPr>
              <w:tabs>
                <w:tab w:val="left" w:pos="1080"/>
                <w:tab w:val="left" w:pos="1800"/>
              </w:tabs>
              <w:jc w:val="center"/>
              <w:rPr>
                <w:rFonts w:ascii="Times New Roman" w:hAnsi="Times New Roman" w:cs="Times New Roman"/>
                <w:sz w:val="23"/>
                <w:szCs w:val="23"/>
              </w:rPr>
            </w:pPr>
            <w:r w:rsidRPr="002B64C6">
              <w:rPr>
                <w:rFonts w:ascii="Times New Roman" w:hAnsi="Times New Roman" w:cs="Times New Roman"/>
                <w:sz w:val="23"/>
                <w:szCs w:val="23"/>
              </w:rPr>
              <w:t>6.</w:t>
            </w:r>
          </w:p>
        </w:tc>
        <w:tc>
          <w:tcPr>
            <w:tcW w:w="9000" w:type="dxa"/>
          </w:tcPr>
          <w:p w:rsidR="00A86895" w:rsidRPr="002B64C6" w:rsidRDefault="00A86895" w:rsidP="00EC2E45">
            <w:pPr>
              <w:tabs>
                <w:tab w:val="left" w:pos="342"/>
              </w:tabs>
              <w:spacing w:after="0" w:line="240" w:lineRule="auto"/>
              <w:rPr>
                <w:rFonts w:ascii="Times New Roman" w:hAnsi="Times New Roman" w:cs="Times New Roman"/>
                <w:i/>
                <w:sz w:val="23"/>
                <w:szCs w:val="23"/>
              </w:rPr>
            </w:pPr>
            <w:r w:rsidRPr="002B64C6">
              <w:rPr>
                <w:rFonts w:ascii="Times New Roman" w:hAnsi="Times New Roman" w:cs="Times New Roman"/>
                <w:i/>
                <w:sz w:val="23"/>
                <w:szCs w:val="23"/>
              </w:rPr>
              <w:t>Finance Committee</w:t>
            </w:r>
            <w:r w:rsidRPr="002B64C6">
              <w:rPr>
                <w:rFonts w:ascii="Times New Roman" w:hAnsi="Times New Roman" w:cs="Times New Roman"/>
                <w:sz w:val="23"/>
                <w:szCs w:val="23"/>
              </w:rPr>
              <w:t xml:space="preserve"> – Selection of Independent Audit Form</w:t>
            </w:r>
          </w:p>
        </w:tc>
      </w:tr>
    </w:tbl>
    <w:p w:rsidR="00EB4AA4" w:rsidRDefault="009A4FEF" w:rsidP="00B87183">
      <w:pPr>
        <w:jc w:val="center"/>
        <w:rPr>
          <w:rFonts w:ascii="Times New Roman" w:hAnsi="Times New Roman" w:cs="Times New Roman"/>
          <w:i/>
          <w:sz w:val="23"/>
          <w:szCs w:val="23"/>
        </w:rPr>
      </w:pPr>
      <w:r w:rsidRPr="009A4FEF">
        <w:rPr>
          <w:rFonts w:ascii="Times New Roman" w:hAnsi="Times New Roman" w:cs="Times New Roman"/>
          <w:i/>
          <w:sz w:val="23"/>
          <w:szCs w:val="23"/>
        </w:rPr>
        <w:t>One or more Board members may attend via tele-video</w:t>
      </w:r>
    </w:p>
    <w:p w:rsidR="0054032B" w:rsidRDefault="0054032B" w:rsidP="00B87183">
      <w:pPr>
        <w:jc w:val="center"/>
        <w:rPr>
          <w:rFonts w:ascii="Times New Roman" w:hAnsi="Times New Roman" w:cs="Times New Roman"/>
          <w:i/>
          <w:sz w:val="23"/>
          <w:szCs w:val="23"/>
        </w:rPr>
      </w:pPr>
    </w:p>
    <w:p w:rsidR="0054032B" w:rsidRPr="000B7B7F" w:rsidRDefault="0054032B" w:rsidP="0054032B">
      <w:pPr>
        <w:pStyle w:val="Footer"/>
        <w:jc w:val="both"/>
        <w:rPr>
          <w:color w:val="7F7F7F" w:themeColor="text1" w:themeTint="80"/>
        </w:rPr>
      </w:pPr>
      <w:r w:rsidRPr="000B7B7F">
        <w:rPr>
          <w:i/>
          <w:iCs/>
          <w:color w:val="7F7F7F" w:themeColor="text1" w:themeTint="80"/>
        </w:rPr>
        <w:lastRenderedPageBreak/>
        <w:t>If during the course of the meeting covered by this notice, the Board of Trustees need to meet in executive session, then such closed or executive meeting or session, pursuant to Chapter 551, Government Code of Texas, will be held by the Board of Trustees on the date, hour, and place given in this notice or as soon after the commencement of the meeting covered by this notice as the Board of Trustees may conveniently meet in such closed or executive meeting or session concerning any and all subjects and for any and all purposes permitted by Chapter 551 of said Government Code.</w:t>
      </w:r>
    </w:p>
    <w:p w:rsidR="0054032B" w:rsidRPr="00F83584" w:rsidRDefault="0054032B" w:rsidP="00B87183">
      <w:pPr>
        <w:jc w:val="center"/>
        <w:rPr>
          <w:rFonts w:ascii="Arial" w:hAnsi="Arial" w:cs="Arial"/>
        </w:rPr>
      </w:pPr>
      <w:bookmarkStart w:id="1" w:name="_GoBack"/>
      <w:bookmarkEnd w:id="1"/>
    </w:p>
    <w:sectPr w:rsidR="0054032B" w:rsidRPr="00F83584" w:rsidSect="00EB4AA4">
      <w:headerReference w:type="even" r:id="rId7"/>
      <w:headerReference w:type="default" r:id="rId8"/>
      <w:footerReference w:type="even" r:id="rId9"/>
      <w:footerReference w:type="default" r:id="rId10"/>
      <w:pgSz w:w="12240" w:h="15840" w:code="1"/>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B31" w:rsidRDefault="00832B31" w:rsidP="00973228">
      <w:pPr>
        <w:spacing w:after="0" w:line="240" w:lineRule="auto"/>
      </w:pPr>
      <w:r>
        <w:separator/>
      </w:r>
    </w:p>
  </w:endnote>
  <w:endnote w:type="continuationSeparator" w:id="0">
    <w:p w:rsidR="00832B31" w:rsidRDefault="00832B31" w:rsidP="0097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25" w:rsidRPr="002D3C7B" w:rsidRDefault="004A5325" w:rsidP="00527440">
    <w:pPr>
      <w:pStyle w:val="Header"/>
      <w:jc w:val="right"/>
      <w:rPr>
        <w:rFonts w:ascii="Arial" w:hAnsi="Arial" w:cs="Arial"/>
        <w:color w:val="00609C" w:themeColor="accent2"/>
      </w:rPr>
    </w:pPr>
    <w:r w:rsidRPr="002D3C7B">
      <w:rPr>
        <w:rFonts w:ascii="Arial" w:hAnsi="Arial" w:cs="Arial"/>
        <w:color w:val="00609C" w:themeColor="accent2"/>
      </w:rPr>
      <w:t xml:space="preserve">Page </w:t>
    </w:r>
    <w:r w:rsidRPr="002D3C7B">
      <w:rPr>
        <w:rFonts w:ascii="Arial" w:hAnsi="Arial" w:cs="Arial"/>
        <w:color w:val="00609C" w:themeColor="accent2"/>
      </w:rPr>
      <w:fldChar w:fldCharType="begin"/>
    </w:r>
    <w:r w:rsidRPr="002D3C7B">
      <w:rPr>
        <w:rFonts w:ascii="Arial" w:hAnsi="Arial" w:cs="Arial"/>
        <w:color w:val="00609C" w:themeColor="accent2"/>
      </w:rPr>
      <w:instrText xml:space="preserve"> PAGE   \* MERGEFORMAT </w:instrText>
    </w:r>
    <w:r w:rsidRPr="002D3C7B">
      <w:rPr>
        <w:rFonts w:ascii="Arial" w:hAnsi="Arial" w:cs="Arial"/>
        <w:color w:val="00609C" w:themeColor="accent2"/>
      </w:rPr>
      <w:fldChar w:fldCharType="separate"/>
    </w:r>
    <w:r w:rsidR="00DC3A87">
      <w:rPr>
        <w:rFonts w:ascii="Arial" w:hAnsi="Arial" w:cs="Arial"/>
        <w:noProof/>
        <w:color w:val="00609C" w:themeColor="accent2"/>
      </w:rPr>
      <w:t>2</w:t>
    </w:r>
    <w:r w:rsidRPr="002D3C7B">
      <w:rPr>
        <w:rFonts w:ascii="Arial" w:hAnsi="Arial" w:cs="Arial"/>
        <w:color w:val="00609C" w:themeColor="accent2"/>
      </w:rPr>
      <w:fldChar w:fldCharType="end"/>
    </w:r>
    <w:r w:rsidRPr="002D3C7B">
      <w:rPr>
        <w:rFonts w:ascii="Arial" w:hAnsi="Arial" w:cs="Arial"/>
        <w:color w:val="00609C" w:themeColor="accent2"/>
      </w:rPr>
      <w:t xml:space="preserve"> | </w:t>
    </w:r>
    <w:r w:rsidRPr="002D3C7B">
      <w:rPr>
        <w:rFonts w:ascii="Arial" w:hAnsi="Arial" w:cs="Arial"/>
        <w:color w:val="00609C" w:themeColor="accent2"/>
      </w:rPr>
      <w:fldChar w:fldCharType="begin"/>
    </w:r>
    <w:r w:rsidRPr="002D3C7B">
      <w:rPr>
        <w:rFonts w:ascii="Arial" w:hAnsi="Arial" w:cs="Arial"/>
        <w:color w:val="00609C" w:themeColor="accent2"/>
      </w:rPr>
      <w:instrText xml:space="preserve"> NUMPAGES  \* Arabic  \* MERGEFORMAT </w:instrText>
    </w:r>
    <w:r w:rsidRPr="002D3C7B">
      <w:rPr>
        <w:rFonts w:ascii="Arial" w:hAnsi="Arial" w:cs="Arial"/>
        <w:color w:val="00609C" w:themeColor="accent2"/>
      </w:rPr>
      <w:fldChar w:fldCharType="separate"/>
    </w:r>
    <w:r w:rsidR="00DC3A87">
      <w:rPr>
        <w:rFonts w:ascii="Arial" w:hAnsi="Arial" w:cs="Arial"/>
        <w:noProof/>
        <w:color w:val="00609C" w:themeColor="accent2"/>
      </w:rPr>
      <w:t>2</w:t>
    </w:r>
    <w:r w:rsidRPr="002D3C7B">
      <w:rPr>
        <w:rFonts w:ascii="Arial" w:hAnsi="Arial" w:cs="Arial"/>
        <w:color w:val="00609C" w:themeColor="accent2"/>
      </w:rPr>
      <w:fldChar w:fldCharType="end"/>
    </w:r>
  </w:p>
  <w:p w:rsidR="004A5325" w:rsidRDefault="004A5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D7" w:rsidRPr="00785CD7" w:rsidRDefault="00767016" w:rsidP="00785CD7">
    <w:pPr>
      <w:pStyle w:val="Footer"/>
      <w:jc w:val="center"/>
      <w:rPr>
        <w:rFonts w:ascii="Arial" w:hAnsi="Arial" w:cs="Arial"/>
        <w:color w:val="FFFFFF" w:themeColor="background1"/>
      </w:rPr>
    </w:pPr>
    <w:r w:rsidRPr="00785CD7">
      <w:rPr>
        <w:rFonts w:ascii="Arial" w:hAnsi="Arial" w:cs="Arial"/>
        <w:noProof/>
        <w:color w:val="FFFFFF" w:themeColor="background1"/>
      </w:rPr>
      <mc:AlternateContent>
        <mc:Choice Requires="wps">
          <w:drawing>
            <wp:anchor distT="0" distB="0" distL="114300" distR="114300" simplePos="0" relativeHeight="251657215" behindDoc="1" locked="0" layoutInCell="1" allowOverlap="1" wp14:anchorId="09584A45" wp14:editId="1B25FC81">
              <wp:simplePos x="0" y="0"/>
              <wp:positionH relativeFrom="column">
                <wp:posOffset>-685811</wp:posOffset>
              </wp:positionH>
              <wp:positionV relativeFrom="paragraph">
                <wp:posOffset>-2430484</wp:posOffset>
              </wp:positionV>
              <wp:extent cx="8064185" cy="9863118"/>
              <wp:effectExtent l="0" t="4127" r="9207" b="9208"/>
              <wp:wrapNone/>
              <wp:docPr id="4" name="Flowchart: Stored Data 4"/>
              <wp:cNvGraphicFramePr/>
              <a:graphic xmlns:a="http://schemas.openxmlformats.org/drawingml/2006/main">
                <a:graphicData uri="http://schemas.microsoft.com/office/word/2010/wordprocessingShape">
                  <wps:wsp>
                    <wps:cNvSpPr/>
                    <wps:spPr>
                      <a:xfrm rot="16200000">
                        <a:off x="0" y="0"/>
                        <a:ext cx="8064185" cy="9863118"/>
                      </a:xfrm>
                      <a:prstGeom prst="flowChartOnlineStorag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7016" w:rsidRDefault="00767016" w:rsidP="00767016">
                          <w:pPr>
                            <w:jc w:val="center"/>
                          </w:pPr>
                          <w:r>
                            <w:t>wwww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84A45"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4" o:spid="_x0000_s1026" type="#_x0000_t130" style="position:absolute;left:0;text-align:left;margin-left:-54pt;margin-top:-191.4pt;width:635pt;height:776.6pt;rotation:-90;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" fillcolor="#fd6852 [3204]" stroked="f" strokeweight="1pt">
              <v:textbox>
                <w:txbxContent>
                  <w:p w:rsidR="00767016" w:rsidRDefault="00767016" w:rsidP="00767016">
                    <w:pPr>
                      <w:jc w:val="center"/>
                    </w:pPr>
                    <w:r>
                      <w:t>wwww</w:t>
                    </w:r>
                  </w:p>
                </w:txbxContent>
              </v:textbox>
            </v:shape>
          </w:pict>
        </mc:Fallback>
      </mc:AlternateContent>
    </w:r>
    <w:r w:rsidR="00785CD7" w:rsidRPr="00785CD7">
      <w:rPr>
        <w:rFonts w:ascii="Arial" w:hAnsi="Arial" w:cs="Arial"/>
        <w:color w:val="FFFFFF" w:themeColor="background1"/>
      </w:rPr>
      <w:t>Our mission is to enhance the behavioral and developmental health and wellness of our community by helping people live their best lives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B31" w:rsidRDefault="00832B31" w:rsidP="00973228">
      <w:pPr>
        <w:spacing w:after="0" w:line="240" w:lineRule="auto"/>
      </w:pPr>
      <w:bookmarkStart w:id="0" w:name="_Hlk510441775"/>
      <w:bookmarkEnd w:id="0"/>
      <w:r>
        <w:separator/>
      </w:r>
    </w:p>
  </w:footnote>
  <w:footnote w:type="continuationSeparator" w:id="0">
    <w:p w:rsidR="00832B31" w:rsidRDefault="00832B31" w:rsidP="00973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440" w:rsidRDefault="00527440">
    <w:pPr>
      <w:pStyle w:val="Header"/>
    </w:pPr>
    <w:r>
      <w:rPr>
        <w:rFonts w:ascii="Arial" w:hAnsi="Arial" w:cs="Arial"/>
        <w:noProof/>
        <w:sz w:val="20"/>
      </w:rPr>
      <w:drawing>
        <wp:anchor distT="0" distB="0" distL="114300" distR="114300" simplePos="0" relativeHeight="251660288" behindDoc="1" locked="0" layoutInCell="1" allowOverlap="1" wp14:anchorId="4618D373" wp14:editId="4174CD53">
          <wp:simplePos x="0" y="0"/>
          <wp:positionH relativeFrom="column">
            <wp:posOffset>2413635</wp:posOffset>
          </wp:positionH>
          <wp:positionV relativeFrom="paragraph">
            <wp:posOffset>-266700</wp:posOffset>
          </wp:positionV>
          <wp:extent cx="1546283" cy="942975"/>
          <wp:effectExtent l="0" t="0" r="0" b="0"/>
          <wp:wrapNone/>
          <wp:docPr id="2" name="Picture 2" descr="C:\Users\megan newman\AppData\Local\Microsoft\Windows\INetCache\Content.Word\Permia_Care_SUN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 newman\AppData\Local\Microsoft\Windows\INetCache\Content.Word\Permia_Care_SUN_RGB-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6588" t="14146" r="12922" b="29963"/>
                  <a:stretch/>
                </pic:blipFill>
                <pic:spPr bwMode="auto">
                  <a:xfrm>
                    <a:off x="0" y="0"/>
                    <a:ext cx="1546283"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28" w:rsidRPr="004A5325" w:rsidRDefault="00767016" w:rsidP="00973228">
    <w:pPr>
      <w:pStyle w:val="Header"/>
      <w:jc w:val="right"/>
      <w:rPr>
        <w:rFonts w:ascii="Arial" w:hAnsi="Arial" w:cs="Arial"/>
        <w:color w:val="00609C" w:themeColor="accent2"/>
      </w:rPr>
    </w:pPr>
    <w:r w:rsidRPr="00F83584">
      <w:rPr>
        <w:rFonts w:ascii="Arial" w:hAnsi="Arial" w:cs="Arial"/>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-214630</wp:posOffset>
          </wp:positionV>
          <wp:extent cx="1965960" cy="1040130"/>
          <wp:effectExtent l="0" t="0" r="0" b="7620"/>
          <wp:wrapSquare wrapText="bothSides"/>
          <wp:docPr id="3" name="Picture 3" descr="C:\Users\megan newman\AppData\Local\Microsoft\Windows\INetCache\Content.Word\Permia_Car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gan newman\AppData\Local\Microsoft\Windows\INetCache\Content.Word\Permia_Care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3228" w:rsidRPr="004A5325" w:rsidRDefault="00973228" w:rsidP="004A3AA3">
    <w:pPr>
      <w:pStyle w:val="Header"/>
      <w:jc w:val="right"/>
      <w:rPr>
        <w:rFonts w:ascii="Arial" w:hAnsi="Arial" w:cs="Arial"/>
        <w:color w:val="00609C" w:themeColor="accent2"/>
      </w:rPr>
    </w:pPr>
  </w:p>
  <w:p w:rsidR="00973228" w:rsidRPr="004A5325" w:rsidRDefault="00973228" w:rsidP="00973228">
    <w:pPr>
      <w:pStyle w:val="Header"/>
      <w:jc w:val="right"/>
      <w:rPr>
        <w:rFonts w:ascii="Arial" w:hAnsi="Arial" w:cs="Arial"/>
        <w:color w:val="00609C" w:themeColor="accent2"/>
      </w:rPr>
    </w:pPr>
  </w:p>
  <w:p w:rsidR="00F83584" w:rsidRPr="004A5325" w:rsidRDefault="0070756D" w:rsidP="00973228">
    <w:pPr>
      <w:pStyle w:val="Header"/>
      <w:jc w:val="right"/>
      <w:rPr>
        <w:rFonts w:ascii="Arial" w:hAnsi="Arial" w:cs="Arial"/>
        <w:color w:val="00609C" w:themeColor="accent2"/>
      </w:rPr>
    </w:pPr>
    <w:r>
      <w:rPr>
        <w:rFonts w:ascii="Arial" w:hAnsi="Arial" w:cs="Arial"/>
        <w:color w:val="00609C" w:themeColor="accent2"/>
      </w:rPr>
      <w:t>May 10, 2018</w:t>
    </w:r>
  </w:p>
  <w:p w:rsidR="00973228" w:rsidRPr="00F83584" w:rsidRDefault="00973228" w:rsidP="00973228">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B1"/>
    <w:multiLevelType w:val="hybridMultilevel"/>
    <w:tmpl w:val="3E1E7BD6"/>
    <w:lvl w:ilvl="0" w:tplc="F27E55E2">
      <w:start w:val="1"/>
      <w:numFmt w:val="decimal"/>
      <w:lvlText w:val="%1."/>
      <w:lvlJc w:val="left"/>
      <w:pPr>
        <w:ind w:left="90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1" w15:restartNumberingAfterBreak="0">
    <w:nsid w:val="15FB6843"/>
    <w:multiLevelType w:val="hybridMultilevel"/>
    <w:tmpl w:val="6C82383C"/>
    <w:lvl w:ilvl="0" w:tplc="ACBC27CC">
      <w:start w:val="1"/>
      <w:numFmt w:val="bullet"/>
      <w:lvlText w:val=""/>
      <w:lvlJc w:val="left"/>
      <w:pPr>
        <w:tabs>
          <w:tab w:val="num" w:pos="703"/>
        </w:tabs>
        <w:ind w:left="703" w:hanging="360"/>
      </w:pPr>
      <w:rPr>
        <w:rFonts w:ascii="Symbol" w:hAnsi="Symbol" w:hint="default"/>
      </w:rPr>
    </w:lvl>
    <w:lvl w:ilvl="1" w:tplc="04090003">
      <w:start w:val="1"/>
      <w:numFmt w:val="bullet"/>
      <w:lvlText w:val="o"/>
      <w:lvlJc w:val="left"/>
      <w:pPr>
        <w:tabs>
          <w:tab w:val="num" w:pos="1783"/>
        </w:tabs>
        <w:ind w:left="1783" w:hanging="360"/>
      </w:pPr>
      <w:rPr>
        <w:rFonts w:ascii="Courier New" w:hAnsi="Courier New" w:cs="Times New Roman" w:hint="default"/>
      </w:rPr>
    </w:lvl>
    <w:lvl w:ilvl="2" w:tplc="04090005">
      <w:start w:val="1"/>
      <w:numFmt w:val="bullet"/>
      <w:lvlText w:val=""/>
      <w:lvlJc w:val="left"/>
      <w:pPr>
        <w:tabs>
          <w:tab w:val="num" w:pos="2503"/>
        </w:tabs>
        <w:ind w:left="2503" w:hanging="360"/>
      </w:pPr>
      <w:rPr>
        <w:rFonts w:ascii="Wingdings" w:hAnsi="Wingdings" w:hint="default"/>
      </w:rPr>
    </w:lvl>
    <w:lvl w:ilvl="3" w:tplc="04090001">
      <w:start w:val="1"/>
      <w:numFmt w:val="bullet"/>
      <w:lvlText w:val=""/>
      <w:lvlJc w:val="left"/>
      <w:pPr>
        <w:tabs>
          <w:tab w:val="num" w:pos="3223"/>
        </w:tabs>
        <w:ind w:left="3223" w:hanging="360"/>
      </w:pPr>
      <w:rPr>
        <w:rFonts w:ascii="Symbol" w:hAnsi="Symbol" w:hint="default"/>
      </w:rPr>
    </w:lvl>
    <w:lvl w:ilvl="4" w:tplc="04090003">
      <w:start w:val="1"/>
      <w:numFmt w:val="bullet"/>
      <w:lvlText w:val="o"/>
      <w:lvlJc w:val="left"/>
      <w:pPr>
        <w:tabs>
          <w:tab w:val="num" w:pos="3943"/>
        </w:tabs>
        <w:ind w:left="3943" w:hanging="360"/>
      </w:pPr>
      <w:rPr>
        <w:rFonts w:ascii="Courier New" w:hAnsi="Courier New" w:cs="Times New Roman" w:hint="default"/>
      </w:rPr>
    </w:lvl>
    <w:lvl w:ilvl="5" w:tplc="04090005">
      <w:start w:val="1"/>
      <w:numFmt w:val="bullet"/>
      <w:lvlText w:val=""/>
      <w:lvlJc w:val="left"/>
      <w:pPr>
        <w:tabs>
          <w:tab w:val="num" w:pos="4663"/>
        </w:tabs>
        <w:ind w:left="4663" w:hanging="360"/>
      </w:pPr>
      <w:rPr>
        <w:rFonts w:ascii="Wingdings" w:hAnsi="Wingdings" w:hint="default"/>
      </w:rPr>
    </w:lvl>
    <w:lvl w:ilvl="6" w:tplc="04090001">
      <w:start w:val="1"/>
      <w:numFmt w:val="bullet"/>
      <w:lvlText w:val=""/>
      <w:lvlJc w:val="left"/>
      <w:pPr>
        <w:tabs>
          <w:tab w:val="num" w:pos="5383"/>
        </w:tabs>
        <w:ind w:left="5383" w:hanging="360"/>
      </w:pPr>
      <w:rPr>
        <w:rFonts w:ascii="Symbol" w:hAnsi="Symbol" w:hint="default"/>
      </w:rPr>
    </w:lvl>
    <w:lvl w:ilvl="7" w:tplc="04090003">
      <w:start w:val="1"/>
      <w:numFmt w:val="bullet"/>
      <w:lvlText w:val="o"/>
      <w:lvlJc w:val="left"/>
      <w:pPr>
        <w:tabs>
          <w:tab w:val="num" w:pos="6103"/>
        </w:tabs>
        <w:ind w:left="6103" w:hanging="360"/>
      </w:pPr>
      <w:rPr>
        <w:rFonts w:ascii="Courier New" w:hAnsi="Courier New" w:cs="Times New Roman" w:hint="default"/>
      </w:rPr>
    </w:lvl>
    <w:lvl w:ilvl="8" w:tplc="04090005">
      <w:start w:val="1"/>
      <w:numFmt w:val="bullet"/>
      <w:lvlText w:val=""/>
      <w:lvlJc w:val="left"/>
      <w:pPr>
        <w:tabs>
          <w:tab w:val="num" w:pos="6823"/>
        </w:tabs>
        <w:ind w:left="6823" w:hanging="360"/>
      </w:pPr>
      <w:rPr>
        <w:rFonts w:ascii="Wingdings" w:hAnsi="Wingdings" w:hint="default"/>
      </w:rPr>
    </w:lvl>
  </w:abstractNum>
  <w:abstractNum w:abstractNumId="2" w15:restartNumberingAfterBreak="0">
    <w:nsid w:val="51F43448"/>
    <w:multiLevelType w:val="hybridMultilevel"/>
    <w:tmpl w:val="C1C0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28"/>
    <w:rsid w:val="000B7B7F"/>
    <w:rsid w:val="00287A6B"/>
    <w:rsid w:val="002B64C6"/>
    <w:rsid w:val="002D3C7B"/>
    <w:rsid w:val="00313B1F"/>
    <w:rsid w:val="004A3AA3"/>
    <w:rsid w:val="004A5325"/>
    <w:rsid w:val="00527440"/>
    <w:rsid w:val="0054032B"/>
    <w:rsid w:val="005E3A04"/>
    <w:rsid w:val="00690FA3"/>
    <w:rsid w:val="0070756D"/>
    <w:rsid w:val="0071477C"/>
    <w:rsid w:val="00767016"/>
    <w:rsid w:val="00785CD7"/>
    <w:rsid w:val="00832B31"/>
    <w:rsid w:val="008947A5"/>
    <w:rsid w:val="00973228"/>
    <w:rsid w:val="009A4FEF"/>
    <w:rsid w:val="00A86895"/>
    <w:rsid w:val="00AB2A25"/>
    <w:rsid w:val="00B214FD"/>
    <w:rsid w:val="00B87183"/>
    <w:rsid w:val="00D07B82"/>
    <w:rsid w:val="00D51638"/>
    <w:rsid w:val="00D6556F"/>
    <w:rsid w:val="00DC3A87"/>
    <w:rsid w:val="00EB4AA4"/>
    <w:rsid w:val="00EC2E45"/>
    <w:rsid w:val="00F83584"/>
    <w:rsid w:val="00F95F21"/>
    <w:rsid w:val="00FC533B"/>
    <w:rsid w:val="00FD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5876A7"/>
  <w15:chartTrackingRefBased/>
  <w15:docId w15:val="{27386C8A-EB6B-4AE9-8A72-0E180B1D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9A4FEF"/>
    <w:pPr>
      <w:keepNext/>
      <w:tabs>
        <w:tab w:val="left" w:pos="1080"/>
        <w:tab w:val="left" w:pos="1800"/>
      </w:tabs>
      <w:spacing w:after="0" w:line="360" w:lineRule="auto"/>
      <w:outlineLvl w:val="2"/>
    </w:pPr>
    <w:rPr>
      <w:rFonts w:ascii="Century Schoolbook" w:eastAsia="Times New Roman" w:hAnsi="Century Schoolbook" w:cs="Times New Roman"/>
      <w:sz w:val="24"/>
      <w:szCs w:val="20"/>
    </w:rPr>
  </w:style>
  <w:style w:type="paragraph" w:styleId="Heading5">
    <w:name w:val="heading 5"/>
    <w:basedOn w:val="Normal"/>
    <w:next w:val="Normal"/>
    <w:link w:val="Heading5Char"/>
    <w:semiHidden/>
    <w:unhideWhenUsed/>
    <w:qFormat/>
    <w:rsid w:val="009A4FEF"/>
    <w:pPr>
      <w:keepNext/>
      <w:spacing w:after="0" w:line="240" w:lineRule="auto"/>
      <w:jc w:val="both"/>
      <w:outlineLvl w:val="4"/>
    </w:pPr>
    <w:rPr>
      <w:rFonts w:ascii="Times New Roman" w:eastAsia="Times New Roman" w:hAnsi="Times New Roman" w:cs="Times New Roman"/>
      <w:color w:val="008000"/>
      <w:sz w:val="27"/>
      <w:szCs w:val="20"/>
    </w:rPr>
  </w:style>
  <w:style w:type="paragraph" w:styleId="Heading6">
    <w:name w:val="heading 6"/>
    <w:basedOn w:val="Normal"/>
    <w:next w:val="Normal"/>
    <w:link w:val="Heading6Char"/>
    <w:semiHidden/>
    <w:unhideWhenUsed/>
    <w:qFormat/>
    <w:rsid w:val="009A4FEF"/>
    <w:pPr>
      <w:keepNext/>
      <w:tabs>
        <w:tab w:val="left" w:pos="1080"/>
        <w:tab w:val="left" w:pos="1800"/>
      </w:tabs>
      <w:spacing w:after="0" w:line="240" w:lineRule="auto"/>
      <w:outlineLvl w:val="5"/>
    </w:pPr>
    <w:rPr>
      <w:rFonts w:ascii="Times New Roman" w:eastAsia="Times New Roman" w:hAnsi="Times New Roman" w:cs="Times New Roman"/>
      <w:sz w:val="27"/>
      <w:szCs w:val="20"/>
    </w:rPr>
  </w:style>
  <w:style w:type="paragraph" w:styleId="Heading7">
    <w:name w:val="heading 7"/>
    <w:basedOn w:val="Normal"/>
    <w:next w:val="Normal"/>
    <w:link w:val="Heading7Char"/>
    <w:semiHidden/>
    <w:unhideWhenUsed/>
    <w:qFormat/>
    <w:rsid w:val="009A4FEF"/>
    <w:pPr>
      <w:keepNext/>
      <w:spacing w:after="0" w:line="360" w:lineRule="auto"/>
      <w:jc w:val="center"/>
      <w:outlineLvl w:val="6"/>
    </w:pPr>
    <w:rPr>
      <w:rFonts w:ascii="Times New Roman" w:eastAsia="Times New Roman" w:hAnsi="Times New Roman" w:cs="Times New Roman"/>
      <w:b/>
      <w:sz w:val="28"/>
      <w:szCs w:val="20"/>
    </w:rPr>
  </w:style>
  <w:style w:type="paragraph" w:styleId="Heading8">
    <w:name w:val="heading 8"/>
    <w:basedOn w:val="Normal"/>
    <w:next w:val="Normal"/>
    <w:link w:val="Heading8Char"/>
    <w:unhideWhenUsed/>
    <w:qFormat/>
    <w:rsid w:val="009A4FEF"/>
    <w:pPr>
      <w:keepNext/>
      <w:tabs>
        <w:tab w:val="left" w:pos="1080"/>
        <w:tab w:val="left" w:pos="1800"/>
      </w:tabs>
      <w:spacing w:after="0" w:line="360" w:lineRule="auto"/>
      <w:outlineLvl w:val="7"/>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228"/>
  </w:style>
  <w:style w:type="paragraph" w:styleId="Footer">
    <w:name w:val="footer"/>
    <w:basedOn w:val="Normal"/>
    <w:link w:val="FooterChar"/>
    <w:unhideWhenUsed/>
    <w:rsid w:val="00973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228"/>
  </w:style>
  <w:style w:type="character" w:styleId="PlaceholderText">
    <w:name w:val="Placeholder Text"/>
    <w:basedOn w:val="DefaultParagraphFont"/>
    <w:uiPriority w:val="99"/>
    <w:semiHidden/>
    <w:rsid w:val="00973228"/>
    <w:rPr>
      <w:color w:val="808080"/>
    </w:rPr>
  </w:style>
  <w:style w:type="character" w:styleId="Hyperlink">
    <w:name w:val="Hyperlink"/>
    <w:basedOn w:val="DefaultParagraphFont"/>
    <w:uiPriority w:val="99"/>
    <w:unhideWhenUsed/>
    <w:rsid w:val="00785CD7"/>
    <w:rPr>
      <w:color w:val="2370CD" w:themeColor="hyperlink"/>
      <w:u w:val="single"/>
    </w:rPr>
  </w:style>
  <w:style w:type="character" w:styleId="UnresolvedMention">
    <w:name w:val="Unresolved Mention"/>
    <w:basedOn w:val="DefaultParagraphFont"/>
    <w:uiPriority w:val="99"/>
    <w:semiHidden/>
    <w:unhideWhenUsed/>
    <w:rsid w:val="00785CD7"/>
    <w:rPr>
      <w:color w:val="808080"/>
      <w:shd w:val="clear" w:color="auto" w:fill="E6E6E6"/>
    </w:rPr>
  </w:style>
  <w:style w:type="paragraph" w:styleId="NoSpacing">
    <w:name w:val="No Spacing"/>
    <w:uiPriority w:val="1"/>
    <w:qFormat/>
    <w:rsid w:val="004A5325"/>
    <w:pPr>
      <w:spacing w:after="0" w:line="240" w:lineRule="auto"/>
    </w:pPr>
  </w:style>
  <w:style w:type="character" w:customStyle="1" w:styleId="Heading3Char">
    <w:name w:val="Heading 3 Char"/>
    <w:basedOn w:val="DefaultParagraphFont"/>
    <w:link w:val="Heading3"/>
    <w:rsid w:val="009A4FEF"/>
    <w:rPr>
      <w:rFonts w:ascii="Century Schoolbook" w:eastAsia="Times New Roman" w:hAnsi="Century Schoolbook" w:cs="Times New Roman"/>
      <w:sz w:val="24"/>
      <w:szCs w:val="20"/>
    </w:rPr>
  </w:style>
  <w:style w:type="character" w:customStyle="1" w:styleId="Heading5Char">
    <w:name w:val="Heading 5 Char"/>
    <w:basedOn w:val="DefaultParagraphFont"/>
    <w:link w:val="Heading5"/>
    <w:semiHidden/>
    <w:rsid w:val="009A4FEF"/>
    <w:rPr>
      <w:rFonts w:ascii="Times New Roman" w:eastAsia="Times New Roman" w:hAnsi="Times New Roman" w:cs="Times New Roman"/>
      <w:color w:val="008000"/>
      <w:sz w:val="27"/>
      <w:szCs w:val="20"/>
    </w:rPr>
  </w:style>
  <w:style w:type="character" w:customStyle="1" w:styleId="Heading6Char">
    <w:name w:val="Heading 6 Char"/>
    <w:basedOn w:val="DefaultParagraphFont"/>
    <w:link w:val="Heading6"/>
    <w:semiHidden/>
    <w:rsid w:val="009A4FEF"/>
    <w:rPr>
      <w:rFonts w:ascii="Times New Roman" w:eastAsia="Times New Roman" w:hAnsi="Times New Roman" w:cs="Times New Roman"/>
      <w:sz w:val="27"/>
      <w:szCs w:val="20"/>
    </w:rPr>
  </w:style>
  <w:style w:type="character" w:customStyle="1" w:styleId="Heading7Char">
    <w:name w:val="Heading 7 Char"/>
    <w:basedOn w:val="DefaultParagraphFont"/>
    <w:link w:val="Heading7"/>
    <w:semiHidden/>
    <w:rsid w:val="009A4FEF"/>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9A4FEF"/>
    <w:rPr>
      <w:rFonts w:ascii="Times New Roman" w:eastAsia="Times New Roman" w:hAnsi="Times New Roman" w:cs="Times New Roman"/>
      <w:sz w:val="26"/>
      <w:szCs w:val="20"/>
    </w:rPr>
  </w:style>
  <w:style w:type="paragraph" w:styleId="BodyText2">
    <w:name w:val="Body Text 2"/>
    <w:basedOn w:val="Normal"/>
    <w:link w:val="BodyText2Char"/>
    <w:unhideWhenUsed/>
    <w:rsid w:val="009A4FEF"/>
    <w:pPr>
      <w:spacing w:after="0" w:line="240" w:lineRule="auto"/>
      <w:jc w:val="both"/>
    </w:pPr>
    <w:rPr>
      <w:rFonts w:ascii="Century Schoolbook" w:eastAsia="Times New Roman" w:hAnsi="Century Schoolbook" w:cs="Times New Roman"/>
      <w:sz w:val="24"/>
      <w:szCs w:val="20"/>
    </w:rPr>
  </w:style>
  <w:style w:type="character" w:customStyle="1" w:styleId="BodyText2Char">
    <w:name w:val="Body Text 2 Char"/>
    <w:basedOn w:val="DefaultParagraphFont"/>
    <w:link w:val="BodyText2"/>
    <w:rsid w:val="009A4FEF"/>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313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81827">
      <w:bodyDiv w:val="1"/>
      <w:marLeft w:val="0"/>
      <w:marRight w:val="0"/>
      <w:marTop w:val="0"/>
      <w:marBottom w:val="0"/>
      <w:divBdr>
        <w:top w:val="none" w:sz="0" w:space="0" w:color="auto"/>
        <w:left w:val="none" w:sz="0" w:space="0" w:color="auto"/>
        <w:bottom w:val="none" w:sz="0" w:space="0" w:color="auto"/>
        <w:right w:val="none" w:sz="0" w:space="0" w:color="auto"/>
      </w:divBdr>
    </w:div>
    <w:div w:id="15992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ermiaCare Brand">
      <a:dk1>
        <a:sysClr val="windowText" lastClr="000000"/>
      </a:dk1>
      <a:lt1>
        <a:sysClr val="window" lastClr="FFFFFF"/>
      </a:lt1>
      <a:dk2>
        <a:srgbClr val="162F33"/>
      </a:dk2>
      <a:lt2>
        <a:srgbClr val="FFFFFF"/>
      </a:lt2>
      <a:accent1>
        <a:srgbClr val="FD6852"/>
      </a:accent1>
      <a:accent2>
        <a:srgbClr val="00609C"/>
      </a:accent2>
      <a:accent3>
        <a:srgbClr val="FAB032"/>
      </a:accent3>
      <a:accent4>
        <a:srgbClr val="5E0B4E"/>
      </a:accent4>
      <a:accent5>
        <a:srgbClr val="0A877D"/>
      </a:accent5>
      <a:accent6>
        <a:srgbClr val="BF2929"/>
      </a:accent6>
      <a:hlink>
        <a:srgbClr val="2370CD"/>
      </a:hlink>
      <a:folHlink>
        <a:srgbClr val="8775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Newman</dc:creator>
  <cp:keywords/>
  <dc:description/>
  <cp:lastModifiedBy>Elsa Garcia</cp:lastModifiedBy>
  <cp:revision>7</cp:revision>
  <cp:lastPrinted>2018-05-08T14:55:00Z</cp:lastPrinted>
  <dcterms:created xsi:type="dcterms:W3CDTF">2018-05-08T14:02:00Z</dcterms:created>
  <dcterms:modified xsi:type="dcterms:W3CDTF">2018-05-08T14:55:00Z</dcterms:modified>
</cp:coreProperties>
</file>